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68E752">
      <w:pPr>
        <w:pStyle w:val="2"/>
        <w:spacing w:line="245" w:lineRule="auto"/>
      </w:pPr>
    </w:p>
    <w:p w14:paraId="026377E7">
      <w:pPr>
        <w:pStyle w:val="2"/>
        <w:spacing w:line="245" w:lineRule="auto"/>
      </w:pPr>
    </w:p>
    <w:p w14:paraId="3D91C3FD">
      <w:pPr>
        <w:pStyle w:val="2"/>
        <w:spacing w:line="245" w:lineRule="auto"/>
      </w:pPr>
    </w:p>
    <w:p w14:paraId="3E095861">
      <w:pPr>
        <w:pStyle w:val="2"/>
        <w:spacing w:line="246" w:lineRule="auto"/>
      </w:pPr>
    </w:p>
    <w:p w14:paraId="154BFC7D">
      <w:pPr>
        <w:pStyle w:val="2"/>
        <w:spacing w:line="246" w:lineRule="auto"/>
      </w:pPr>
    </w:p>
    <w:p w14:paraId="03E73828">
      <w:pPr>
        <w:pStyle w:val="2"/>
        <w:spacing w:line="246" w:lineRule="auto"/>
      </w:pPr>
    </w:p>
    <w:p w14:paraId="1C4BC82A">
      <w:pPr>
        <w:spacing w:before="462" w:line="219" w:lineRule="auto"/>
        <w:jc w:val="right"/>
        <w:outlineLvl w:val="0"/>
        <w:rPr>
          <w:rFonts w:ascii="宋体" w:hAnsi="宋体" w:eastAsia="宋体" w:cs="宋体"/>
          <w:sz w:val="142"/>
          <w:szCs w:val="142"/>
        </w:rPr>
      </w:pPr>
      <w:r>
        <w:rPr>
          <w:rFonts w:hint="eastAsia" w:ascii="宋体" w:hAnsi="宋体" w:eastAsia="宋体" w:cs="宋体"/>
          <w:b/>
          <w:bCs/>
          <w:color w:val="FF1000"/>
          <w:spacing w:val="-90"/>
          <w:w w:val="64"/>
          <w:sz w:val="142"/>
          <w:szCs w:val="142"/>
          <w:lang w:val="en-US" w:eastAsia="zh-CN"/>
        </w:rPr>
        <w:t>望奎县</w:t>
      </w:r>
      <w:r>
        <w:rPr>
          <w:rFonts w:ascii="宋体" w:hAnsi="宋体" w:eastAsia="宋体" w:cs="宋体"/>
          <w:b/>
          <w:bCs/>
          <w:color w:val="FF1000"/>
          <w:spacing w:val="-90"/>
          <w:w w:val="64"/>
          <w:sz w:val="142"/>
          <w:szCs w:val="142"/>
        </w:rPr>
        <w:t>应急管理</w:t>
      </w:r>
      <w:r>
        <w:rPr>
          <w:rFonts w:ascii="宋体" w:hAnsi="宋体" w:eastAsia="宋体" w:cs="宋体"/>
          <w:b/>
          <w:bCs/>
          <w:color w:val="FF1000"/>
          <w:spacing w:val="-89"/>
          <w:w w:val="64"/>
          <w:sz w:val="142"/>
          <w:szCs w:val="142"/>
        </w:rPr>
        <w:t>局文</w:t>
      </w:r>
      <w:r>
        <w:rPr>
          <w:rFonts w:ascii="宋体" w:hAnsi="宋体" w:eastAsia="宋体" w:cs="宋体"/>
          <w:b/>
          <w:bCs/>
          <w:color w:val="FF1000"/>
          <w:spacing w:val="-62"/>
          <w:w w:val="64"/>
          <w:sz w:val="142"/>
          <w:szCs w:val="142"/>
        </w:rPr>
        <w:t>件</w:t>
      </w:r>
    </w:p>
    <w:p w14:paraId="325F38A9">
      <w:pPr>
        <w:pStyle w:val="2"/>
        <w:spacing w:line="278" w:lineRule="auto"/>
      </w:pPr>
    </w:p>
    <w:p w14:paraId="3D770FDF">
      <w:pPr>
        <w:pStyle w:val="2"/>
        <w:spacing w:line="278" w:lineRule="auto"/>
      </w:pPr>
    </w:p>
    <w:p w14:paraId="04A0020D">
      <w:pPr>
        <w:pStyle w:val="2"/>
        <w:spacing w:line="278" w:lineRule="auto"/>
      </w:pPr>
    </w:p>
    <w:p w14:paraId="406678A2">
      <w:pPr>
        <w:pStyle w:val="2"/>
        <w:spacing w:line="279" w:lineRule="auto"/>
      </w:pPr>
    </w:p>
    <w:p w14:paraId="24E0BB5C">
      <w:pPr>
        <w:spacing w:before="98" w:line="224" w:lineRule="auto"/>
        <w:ind w:left="2759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pacing w:val="18"/>
          <w:sz w:val="30"/>
          <w:szCs w:val="30"/>
          <w:lang w:val="en-US" w:eastAsia="zh-CN"/>
        </w:rPr>
        <w:t>望</w:t>
      </w:r>
      <w:r>
        <w:rPr>
          <w:rFonts w:ascii="仿宋" w:hAnsi="仿宋" w:eastAsia="仿宋" w:cs="仿宋"/>
          <w:spacing w:val="18"/>
          <w:sz w:val="30"/>
          <w:szCs w:val="30"/>
        </w:rPr>
        <w:t>应急发〔2026〕</w:t>
      </w:r>
      <w:r>
        <w:rPr>
          <w:rFonts w:hint="eastAsia" w:ascii="仿宋" w:hAnsi="仿宋" w:eastAsia="仿宋" w:cs="仿宋"/>
          <w:spacing w:val="18"/>
          <w:sz w:val="30"/>
          <w:szCs w:val="30"/>
          <w:lang w:val="en-US" w:eastAsia="zh-CN"/>
        </w:rPr>
        <w:t xml:space="preserve">6 </w:t>
      </w:r>
      <w:r>
        <w:rPr>
          <w:rFonts w:ascii="仿宋" w:hAnsi="仿宋" w:eastAsia="仿宋" w:cs="仿宋"/>
          <w:spacing w:val="18"/>
          <w:sz w:val="30"/>
          <w:szCs w:val="30"/>
        </w:rPr>
        <w:t>号</w:t>
      </w:r>
    </w:p>
    <w:p w14:paraId="371EF032">
      <w:pPr>
        <w:spacing w:before="74" w:line="60" w:lineRule="exact"/>
      </w:pPr>
      <w:r>
        <w:rPr>
          <w:position w:val="-1"/>
        </w:rPr>
        <w:drawing>
          <wp:inline distT="0" distB="0" distL="0" distR="0">
            <wp:extent cx="5561965" cy="38100"/>
            <wp:effectExtent l="0" t="0" r="0" b="0"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62545" cy="38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A33C34">
      <w:pPr>
        <w:pStyle w:val="2"/>
        <w:spacing w:line="269" w:lineRule="auto"/>
      </w:pPr>
    </w:p>
    <w:p w14:paraId="18074010">
      <w:pPr>
        <w:pStyle w:val="2"/>
        <w:spacing w:line="269" w:lineRule="auto"/>
      </w:pPr>
    </w:p>
    <w:p w14:paraId="58B6BACD">
      <w:pPr>
        <w:pStyle w:val="2"/>
        <w:spacing w:line="269" w:lineRule="auto"/>
      </w:pPr>
    </w:p>
    <w:p w14:paraId="6CBB6F6F">
      <w:pPr>
        <w:pStyle w:val="2"/>
        <w:spacing w:line="269" w:lineRule="auto"/>
      </w:pPr>
    </w:p>
    <w:p w14:paraId="6CA06265">
      <w:pPr>
        <w:spacing w:before="149" w:line="233" w:lineRule="auto"/>
        <w:ind w:left="735" w:right="451" w:hanging="319"/>
        <w:rPr>
          <w:rFonts w:ascii="宋体" w:hAnsi="宋体" w:eastAsia="宋体" w:cs="宋体"/>
          <w:sz w:val="46"/>
          <w:szCs w:val="46"/>
        </w:rPr>
      </w:pPr>
      <w:r>
        <w:rPr>
          <w:rFonts w:ascii="宋体" w:hAnsi="宋体" w:eastAsia="宋体" w:cs="宋体"/>
          <w:b/>
          <w:bCs/>
          <w:spacing w:val="-25"/>
          <w:sz w:val="46"/>
          <w:szCs w:val="46"/>
        </w:rPr>
        <w:t>关于印发《</w:t>
      </w:r>
      <w:r>
        <w:rPr>
          <w:rFonts w:hint="eastAsia" w:ascii="宋体" w:hAnsi="宋体" w:eastAsia="宋体" w:cs="宋体"/>
          <w:b/>
          <w:bCs/>
          <w:spacing w:val="-25"/>
          <w:sz w:val="46"/>
          <w:szCs w:val="46"/>
          <w:lang w:val="en-US" w:eastAsia="zh-CN"/>
        </w:rPr>
        <w:t>望奎县</w:t>
      </w:r>
      <w:r>
        <w:rPr>
          <w:rFonts w:ascii="宋体" w:hAnsi="宋体" w:eastAsia="宋体" w:cs="宋体"/>
          <w:b/>
          <w:bCs/>
          <w:spacing w:val="-25"/>
          <w:sz w:val="46"/>
          <w:szCs w:val="46"/>
        </w:rPr>
        <w:t>应急管理系统直管行业</w:t>
      </w:r>
      <w:r>
        <w:rPr>
          <w:rFonts w:ascii="宋体" w:hAnsi="宋体" w:eastAsia="宋体" w:cs="宋体"/>
          <w:b/>
          <w:bCs/>
          <w:spacing w:val="-10"/>
          <w:sz w:val="46"/>
          <w:szCs w:val="46"/>
        </w:rPr>
        <w:t>领域安全生产执法“利剑行动-2026”</w:t>
      </w:r>
    </w:p>
    <w:p w14:paraId="35900573">
      <w:pPr>
        <w:spacing w:line="220" w:lineRule="auto"/>
        <w:ind w:left="2636"/>
        <w:rPr>
          <w:rFonts w:ascii="宋体" w:hAnsi="宋体" w:eastAsia="宋体" w:cs="宋体"/>
          <w:sz w:val="46"/>
          <w:szCs w:val="46"/>
        </w:rPr>
      </w:pPr>
      <w:r>
        <w:rPr>
          <w:rFonts w:ascii="宋体" w:hAnsi="宋体" w:eastAsia="宋体" w:cs="宋体"/>
          <w:b/>
          <w:bCs/>
          <w:spacing w:val="-22"/>
          <w:sz w:val="46"/>
          <w:szCs w:val="46"/>
        </w:rPr>
        <w:t>工作方案》的通知</w:t>
      </w:r>
    </w:p>
    <w:p w14:paraId="3BDA7974">
      <w:pPr>
        <w:pStyle w:val="2"/>
        <w:spacing w:line="351" w:lineRule="auto"/>
      </w:pPr>
    </w:p>
    <w:p w14:paraId="03E58228">
      <w:pPr>
        <w:pStyle w:val="2"/>
        <w:spacing w:line="352" w:lineRule="auto"/>
      </w:pPr>
    </w:p>
    <w:p w14:paraId="1EC0EFFE">
      <w:pPr>
        <w:spacing w:before="98" w:line="221" w:lineRule="auto"/>
        <w:jc w:val="left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2"/>
          <w:sz w:val="30"/>
          <w:szCs w:val="30"/>
        </w:rPr>
        <w:t>各</w:t>
      </w:r>
      <w:r>
        <w:rPr>
          <w:rFonts w:hint="eastAsia" w:ascii="仿宋" w:hAnsi="仿宋" w:eastAsia="仿宋" w:cs="仿宋"/>
          <w:spacing w:val="22"/>
          <w:sz w:val="30"/>
          <w:szCs w:val="30"/>
          <w:lang w:val="en-US" w:eastAsia="zh-CN"/>
        </w:rPr>
        <w:t>相关企业</w:t>
      </w:r>
      <w:r>
        <w:rPr>
          <w:rFonts w:ascii="仿宋" w:hAnsi="仿宋" w:eastAsia="仿宋" w:cs="仿宋"/>
          <w:spacing w:val="21"/>
          <w:sz w:val="30"/>
          <w:szCs w:val="30"/>
        </w:rPr>
        <w:t>：</w:t>
      </w:r>
    </w:p>
    <w:p w14:paraId="0E96B826">
      <w:pPr>
        <w:spacing w:before="261" w:line="356" w:lineRule="auto"/>
        <w:ind w:left="79" w:right="79" w:firstLine="64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7"/>
          <w:sz w:val="30"/>
          <w:szCs w:val="30"/>
        </w:rPr>
        <w:t>现将《</w:t>
      </w:r>
      <w:r>
        <w:rPr>
          <w:rFonts w:hint="eastAsia" w:ascii="仿宋" w:hAnsi="仿宋" w:eastAsia="仿宋" w:cs="仿宋"/>
          <w:spacing w:val="7"/>
          <w:sz w:val="30"/>
          <w:szCs w:val="30"/>
          <w:lang w:val="en-US" w:eastAsia="zh-CN"/>
        </w:rPr>
        <w:t>望奎县</w:t>
      </w:r>
      <w:r>
        <w:rPr>
          <w:rFonts w:ascii="仿宋" w:hAnsi="仿宋" w:eastAsia="仿宋" w:cs="仿宋"/>
          <w:spacing w:val="7"/>
          <w:sz w:val="30"/>
          <w:szCs w:val="30"/>
        </w:rPr>
        <w:t>应急管理系统直管行业领域安全生产执法“利</w:t>
      </w:r>
      <w:r>
        <w:rPr>
          <w:rFonts w:ascii="仿宋" w:hAnsi="仿宋" w:eastAsia="仿宋" w:cs="仿宋"/>
          <w:spacing w:val="16"/>
          <w:sz w:val="30"/>
          <w:szCs w:val="30"/>
        </w:rPr>
        <w:t>剑行动-2026”工作方案》印发你们，请严格遵照执行。</w:t>
      </w:r>
    </w:p>
    <w:p w14:paraId="6C9E1850">
      <w:pPr>
        <w:pStyle w:val="2"/>
        <w:spacing w:line="296" w:lineRule="auto"/>
      </w:pPr>
    </w:p>
    <w:p w14:paraId="0322784B">
      <w:pPr>
        <w:pStyle w:val="2"/>
        <w:spacing w:line="297" w:lineRule="auto"/>
      </w:pPr>
    </w:p>
    <w:p w14:paraId="0E1A03B5">
      <w:pPr>
        <w:pStyle w:val="2"/>
        <w:spacing w:line="297" w:lineRule="auto"/>
      </w:pPr>
    </w:p>
    <w:p w14:paraId="7CA1C03C">
      <w:pPr>
        <w:pStyle w:val="2"/>
        <w:spacing w:line="297" w:lineRule="auto"/>
      </w:pPr>
    </w:p>
    <w:p w14:paraId="7E5D378C">
      <w:pPr>
        <w:spacing w:before="101" w:line="222" w:lineRule="auto"/>
        <w:ind w:left="4879"/>
        <w:rPr>
          <w:rFonts w:ascii="仿宋" w:hAnsi="仿宋" w:eastAsia="仿宋" w:cs="仿宋"/>
          <w:sz w:val="31"/>
          <w:szCs w:val="31"/>
        </w:rPr>
      </w:pPr>
      <w:r>
        <w:rPr>
          <w:rFonts w:hint="eastAsia" w:ascii="仿宋" w:hAnsi="仿宋" w:eastAsia="仿宋" w:cs="仿宋"/>
          <w:spacing w:val="8"/>
          <w:sz w:val="31"/>
          <w:szCs w:val="31"/>
          <w:lang w:val="en-US" w:eastAsia="zh-CN"/>
        </w:rPr>
        <w:t>望奎县</w:t>
      </w:r>
      <w:r>
        <w:rPr>
          <w:rFonts w:ascii="仿宋" w:hAnsi="仿宋" w:eastAsia="仿宋" w:cs="仿宋"/>
          <w:spacing w:val="8"/>
          <w:sz w:val="31"/>
          <w:szCs w:val="31"/>
        </w:rPr>
        <w:t>应急管理局</w:t>
      </w:r>
    </w:p>
    <w:p w14:paraId="4E79B2D9">
      <w:pPr>
        <w:spacing w:before="228" w:line="222" w:lineRule="auto"/>
        <w:ind w:left="4959"/>
        <w:rPr>
          <w:rFonts w:ascii="仿宋" w:hAnsi="仿宋" w:eastAsia="仿宋" w:cs="仿宋"/>
          <w:sz w:val="31"/>
          <w:szCs w:val="31"/>
        </w:rPr>
        <w:sectPr>
          <w:footerReference r:id="rId5" w:type="default"/>
          <w:pgSz w:w="11860" w:h="16880"/>
          <w:pgMar w:top="1434" w:right="1499" w:bottom="1158" w:left="1570" w:header="0" w:footer="871" w:gutter="0"/>
          <w:cols w:space="720" w:num="1"/>
        </w:sectPr>
      </w:pPr>
      <w:r>
        <w:rPr>
          <w:rFonts w:ascii="仿宋" w:hAnsi="仿宋" w:eastAsia="仿宋" w:cs="仿宋"/>
          <w:spacing w:val="44"/>
          <w:w w:val="105"/>
          <w:sz w:val="31"/>
          <w:szCs w:val="31"/>
        </w:rPr>
        <w:t>2026年</w:t>
      </w:r>
      <w:r>
        <w:rPr>
          <w:rFonts w:hint="eastAsia" w:ascii="仿宋" w:hAnsi="仿宋" w:eastAsia="仿宋" w:cs="仿宋"/>
          <w:spacing w:val="44"/>
          <w:w w:val="105"/>
          <w:sz w:val="31"/>
          <w:szCs w:val="31"/>
          <w:lang w:val="en-US" w:eastAsia="zh-CN"/>
        </w:rPr>
        <w:t>5</w:t>
      </w:r>
      <w:r>
        <w:rPr>
          <w:rFonts w:ascii="仿宋" w:hAnsi="仿宋" w:eastAsia="仿宋" w:cs="仿宋"/>
          <w:spacing w:val="44"/>
          <w:w w:val="105"/>
          <w:sz w:val="31"/>
          <w:szCs w:val="31"/>
        </w:rPr>
        <w:t>月</w:t>
      </w:r>
      <w:r>
        <w:rPr>
          <w:rFonts w:hint="eastAsia" w:ascii="仿宋" w:hAnsi="仿宋" w:eastAsia="仿宋" w:cs="仿宋"/>
          <w:spacing w:val="44"/>
          <w:w w:val="105"/>
          <w:sz w:val="31"/>
          <w:szCs w:val="31"/>
          <w:lang w:val="en-US" w:eastAsia="zh-CN"/>
        </w:rPr>
        <w:t>19</w:t>
      </w:r>
      <w:r>
        <w:rPr>
          <w:rFonts w:ascii="仿宋" w:hAnsi="仿宋" w:eastAsia="仿宋" w:cs="仿宋"/>
          <w:spacing w:val="44"/>
          <w:w w:val="105"/>
          <w:sz w:val="31"/>
          <w:szCs w:val="31"/>
        </w:rPr>
        <w:t>日</w:t>
      </w:r>
    </w:p>
    <w:p w14:paraId="2FA5538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49" w:line="560" w:lineRule="exact"/>
        <w:ind w:left="1075" w:right="955" w:hanging="99"/>
        <w:textAlignment w:val="baseline"/>
        <w:rPr>
          <w:rFonts w:ascii="宋体" w:hAnsi="宋体" w:eastAsia="宋体" w:cs="宋体"/>
          <w:sz w:val="46"/>
          <w:szCs w:val="46"/>
        </w:rPr>
      </w:pPr>
      <w:r>
        <w:rPr>
          <w:rFonts w:hint="eastAsia" w:ascii="宋体" w:hAnsi="宋体" w:eastAsia="宋体" w:cs="宋体"/>
          <w:b/>
          <w:bCs/>
          <w:spacing w:val="-26"/>
          <w:sz w:val="46"/>
          <w:szCs w:val="46"/>
          <w:lang w:val="en-US" w:eastAsia="zh-CN"/>
        </w:rPr>
        <w:t>望奎县</w:t>
      </w:r>
      <w:r>
        <w:rPr>
          <w:rFonts w:ascii="宋体" w:hAnsi="宋体" w:eastAsia="宋体" w:cs="宋体"/>
          <w:b/>
          <w:bCs/>
          <w:spacing w:val="-26"/>
          <w:sz w:val="46"/>
          <w:szCs w:val="46"/>
        </w:rPr>
        <w:t>应急管理系统直管行业领域</w:t>
      </w:r>
      <w:r>
        <w:rPr>
          <w:rFonts w:ascii="宋体" w:hAnsi="宋体" w:eastAsia="宋体" w:cs="宋体"/>
          <w:b/>
          <w:bCs/>
          <w:spacing w:val="-9"/>
          <w:sz w:val="46"/>
          <w:szCs w:val="46"/>
        </w:rPr>
        <w:t>安全生产执法“利剑行动-2026”</w:t>
      </w:r>
    </w:p>
    <w:p w14:paraId="7965C01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" w:line="560" w:lineRule="exact"/>
        <w:ind w:left="3396"/>
        <w:textAlignment w:val="baseline"/>
        <w:rPr>
          <w:rFonts w:ascii="宋体" w:hAnsi="宋体" w:eastAsia="宋体" w:cs="宋体"/>
          <w:sz w:val="46"/>
          <w:szCs w:val="46"/>
        </w:rPr>
      </w:pPr>
      <w:r>
        <w:rPr>
          <w:rFonts w:ascii="宋体" w:hAnsi="宋体" w:eastAsia="宋体" w:cs="宋体"/>
          <w:b/>
          <w:bCs/>
          <w:spacing w:val="-22"/>
          <w:sz w:val="46"/>
          <w:szCs w:val="46"/>
        </w:rPr>
        <w:t>工作方案</w:t>
      </w:r>
    </w:p>
    <w:p w14:paraId="5F84F3F9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</w:pPr>
    </w:p>
    <w:p w14:paraId="5325AD1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76" w:firstLineChars="200"/>
        <w:jc w:val="both"/>
        <w:textAlignment w:val="baseline"/>
        <w:rPr>
          <w:rFonts w:ascii="仿宋" w:hAnsi="仿宋" w:eastAsia="仿宋" w:cs="仿宋"/>
          <w:spacing w:val="9"/>
          <w:sz w:val="31"/>
          <w:szCs w:val="31"/>
        </w:rPr>
      </w:pPr>
      <w:r>
        <w:rPr>
          <w:rFonts w:hint="eastAsia" w:ascii="仿宋" w:hAnsi="仿宋" w:eastAsia="仿宋" w:cs="仿宋"/>
          <w:spacing w:val="9"/>
          <w:sz w:val="32"/>
          <w:szCs w:val="32"/>
        </w:rPr>
        <w:t>为坚决贯彻落实</w:t>
      </w:r>
      <w:r>
        <w:rPr>
          <w:rFonts w:hint="eastAsia" w:ascii="仿宋" w:hAnsi="仿宋" w:eastAsia="仿宋" w:cs="仿宋"/>
          <w:spacing w:val="9"/>
          <w:sz w:val="32"/>
          <w:szCs w:val="32"/>
          <w:lang w:val="en-US" w:eastAsia="zh-CN"/>
        </w:rPr>
        <w:t>市</w:t>
      </w:r>
      <w:r>
        <w:rPr>
          <w:rFonts w:hint="eastAsia" w:ascii="仿宋" w:hAnsi="仿宋" w:eastAsia="仿宋" w:cs="仿宋"/>
          <w:spacing w:val="9"/>
          <w:sz w:val="32"/>
          <w:szCs w:val="32"/>
        </w:rPr>
        <w:t>委市政府</w:t>
      </w:r>
      <w:r>
        <w:rPr>
          <w:rFonts w:hint="eastAsia" w:ascii="仿宋" w:hAnsi="仿宋" w:eastAsia="仿宋" w:cs="仿宋"/>
          <w:spacing w:val="9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pacing w:val="9"/>
          <w:sz w:val="32"/>
          <w:szCs w:val="32"/>
          <w:lang w:val="en-US" w:eastAsia="zh-CN"/>
        </w:rPr>
        <w:t>县委县政府</w:t>
      </w:r>
      <w:r>
        <w:rPr>
          <w:rFonts w:hint="eastAsia" w:ascii="仿宋" w:hAnsi="仿宋" w:eastAsia="仿宋" w:cs="仿宋"/>
          <w:spacing w:val="9"/>
          <w:sz w:val="32"/>
          <w:szCs w:val="32"/>
        </w:rPr>
        <w:t>关于安全生产工作部署，坚持问题导向，突出精准严格执法，进一步推动企业安全主体责任落实，突出重点行业专项整治，</w:t>
      </w:r>
      <w:r>
        <w:rPr>
          <w:rFonts w:hint="eastAsia" w:ascii="仿宋" w:hAnsi="仿宋" w:eastAsia="仿宋" w:cs="仿宋"/>
          <w:spacing w:val="9"/>
          <w:sz w:val="32"/>
          <w:szCs w:val="32"/>
          <w:lang w:val="en-US" w:eastAsia="zh-CN"/>
        </w:rPr>
        <w:t>根据《</w:t>
      </w:r>
      <w:r>
        <w:rPr>
          <w:rFonts w:hint="eastAsia" w:ascii="仿宋" w:hAnsi="仿宋" w:eastAsia="仿宋" w:cs="仿宋"/>
          <w:spacing w:val="9"/>
          <w:sz w:val="32"/>
          <w:szCs w:val="32"/>
        </w:rPr>
        <w:t>关于印发《绥化市应急管理系统直管行业领域安全生产执法“利剑行动-2026”工作方案》的通知</w:t>
      </w:r>
      <w:r>
        <w:rPr>
          <w:rFonts w:hint="eastAsia" w:ascii="仿宋" w:hAnsi="仿宋" w:eastAsia="仿宋" w:cs="仿宋"/>
          <w:spacing w:val="9"/>
          <w:sz w:val="32"/>
          <w:szCs w:val="32"/>
          <w:lang w:val="en-US" w:eastAsia="zh-CN"/>
        </w:rPr>
        <w:t>》（</w:t>
      </w:r>
      <w:r>
        <w:rPr>
          <w:rFonts w:hint="eastAsia" w:ascii="仿宋" w:hAnsi="仿宋" w:eastAsia="仿宋" w:cs="仿宋"/>
          <w:spacing w:val="18"/>
          <w:sz w:val="32"/>
          <w:szCs w:val="32"/>
        </w:rPr>
        <w:t>绥应急发〔2026〕28号</w:t>
      </w:r>
      <w:r>
        <w:rPr>
          <w:rFonts w:hint="eastAsia" w:ascii="仿宋" w:hAnsi="仿宋" w:eastAsia="仿宋" w:cs="仿宋"/>
          <w:spacing w:val="9"/>
          <w:sz w:val="32"/>
          <w:szCs w:val="32"/>
          <w:lang w:val="en-US" w:eastAsia="zh-CN"/>
        </w:rPr>
        <w:t>）的要求，县</w:t>
      </w:r>
      <w:r>
        <w:rPr>
          <w:rFonts w:hint="eastAsia" w:ascii="仿宋" w:hAnsi="仿宋" w:eastAsia="仿宋" w:cs="仿宋"/>
          <w:spacing w:val="9"/>
          <w:sz w:val="32"/>
          <w:szCs w:val="32"/>
        </w:rPr>
        <w:t>应急管理局决定自即日起至12月底在全</w:t>
      </w:r>
      <w:r>
        <w:rPr>
          <w:rFonts w:hint="eastAsia" w:ascii="仿宋" w:hAnsi="仿宋" w:eastAsia="仿宋" w:cs="仿宋"/>
          <w:spacing w:val="9"/>
          <w:sz w:val="32"/>
          <w:szCs w:val="32"/>
          <w:lang w:val="en-US" w:eastAsia="zh-CN"/>
        </w:rPr>
        <w:t>县</w:t>
      </w:r>
      <w:r>
        <w:rPr>
          <w:rFonts w:hint="eastAsia" w:ascii="仿宋" w:hAnsi="仿宋" w:eastAsia="仿宋" w:cs="仿宋"/>
          <w:spacing w:val="9"/>
          <w:sz w:val="32"/>
          <w:szCs w:val="32"/>
        </w:rPr>
        <w:t>应急管理系统内开展直管行业领域安全生产执法“利剑行动-2026”</w:t>
      </w:r>
      <w:r>
        <w:rPr>
          <w:rFonts w:hint="eastAsia" w:ascii="仿宋" w:hAnsi="仿宋" w:eastAsia="仿宋" w:cs="仿宋"/>
          <w:spacing w:val="9"/>
          <w:sz w:val="32"/>
          <w:szCs w:val="32"/>
          <w:lang w:eastAsia="zh-CN"/>
        </w:rPr>
        <w:t>，</w:t>
      </w:r>
      <w:bookmarkStart w:id="0" w:name="_GoBack"/>
      <w:bookmarkEnd w:id="0"/>
      <w:r>
        <w:rPr>
          <w:rFonts w:hint="eastAsia" w:ascii="仿宋" w:hAnsi="仿宋" w:eastAsia="仿宋" w:cs="仿宋"/>
          <w:spacing w:val="9"/>
          <w:sz w:val="32"/>
          <w:szCs w:val="32"/>
        </w:rPr>
        <w:t>特制定本方案。</w:t>
      </w:r>
    </w:p>
    <w:p w14:paraId="62A143F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640" w:firstLine="0"/>
        <w:textAlignment w:val="baseline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9"/>
          <w:sz w:val="31"/>
          <w:szCs w:val="31"/>
        </w:rPr>
        <w:t>一、任务目标</w:t>
      </w:r>
    </w:p>
    <w:p w14:paraId="6733EB1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76" w:firstLineChars="200"/>
        <w:jc w:val="both"/>
        <w:textAlignment w:val="baseline"/>
        <w:rPr>
          <w:rFonts w:hint="eastAsia" w:ascii="仿宋" w:hAnsi="仿宋" w:eastAsia="仿宋" w:cs="仿宋"/>
          <w:spacing w:val="9"/>
          <w:sz w:val="32"/>
          <w:szCs w:val="32"/>
        </w:rPr>
      </w:pPr>
      <w:r>
        <w:rPr>
          <w:rFonts w:hint="eastAsia" w:ascii="仿宋" w:hAnsi="仿宋" w:eastAsia="仿宋" w:cs="仿宋"/>
          <w:spacing w:val="9"/>
          <w:sz w:val="32"/>
          <w:szCs w:val="32"/>
        </w:rPr>
        <w:t>认真贯彻省、市</w:t>
      </w:r>
      <w:r>
        <w:rPr>
          <w:rFonts w:hint="eastAsia" w:ascii="仿宋" w:hAnsi="仿宋" w:eastAsia="仿宋" w:cs="仿宋"/>
          <w:spacing w:val="9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pacing w:val="9"/>
          <w:sz w:val="32"/>
          <w:szCs w:val="32"/>
          <w:lang w:val="en-US" w:eastAsia="zh-CN"/>
        </w:rPr>
        <w:t>县委</w:t>
      </w:r>
      <w:r>
        <w:rPr>
          <w:rFonts w:hint="eastAsia" w:ascii="仿宋" w:hAnsi="仿宋" w:eastAsia="仿宋" w:cs="仿宋"/>
          <w:spacing w:val="9"/>
          <w:sz w:val="32"/>
          <w:szCs w:val="32"/>
        </w:rPr>
        <w:t>关于严格规范涉企行政检查有关要求，严格规范安全生产执法行为，严控涉企行政检查频次，坚持精准施治、靶向发力，严查有限空间、外包外租、电(气)焊、动火作业、临时用电等高危作业环节非法违法行为，以“安全风险管控可靠、安全事故隐患及时消除”为目标，不断提升行政执法效能，查办一批具有影响力的大案要案，有效发挥执法震慑作用。</w:t>
      </w:r>
    </w:p>
    <w:p w14:paraId="5225F20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640" w:firstLine="0"/>
        <w:textAlignment w:val="baseline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spacing w:val="-1"/>
          <w:sz w:val="32"/>
          <w:szCs w:val="32"/>
        </w:rPr>
        <w:t>二、重点检查内容</w:t>
      </w:r>
    </w:p>
    <w:p w14:paraId="603A2B6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850" w:firstLine="0"/>
        <w:textAlignment w:val="baseline"/>
        <w:rPr>
          <w:rFonts w:ascii="楷体" w:hAnsi="楷体" w:eastAsia="楷体" w:cs="楷体"/>
          <w:spacing w:val="25"/>
          <w:sz w:val="31"/>
          <w:szCs w:val="31"/>
        </w:rPr>
      </w:pPr>
      <w:r>
        <w:rPr>
          <w:rFonts w:ascii="楷体" w:hAnsi="楷体" w:eastAsia="楷体" w:cs="楷体"/>
          <w:spacing w:val="25"/>
          <w:sz w:val="31"/>
          <w:szCs w:val="31"/>
        </w:rPr>
        <w:t>(一)重点行业领域</w:t>
      </w:r>
    </w:p>
    <w:p w14:paraId="25DE151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72" w:firstLineChars="200"/>
        <w:textAlignment w:val="baseline"/>
        <w:rPr>
          <w:rFonts w:hint="eastAsia" w:ascii="仿宋" w:hAnsi="仿宋" w:eastAsia="仿宋" w:cs="仿宋"/>
          <w:spacing w:val="9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pacing w:val="13"/>
          <w:sz w:val="31"/>
          <w:szCs w:val="31"/>
        </w:rPr>
        <w:t>1.</w:t>
      </w:r>
      <w:r>
        <w:rPr>
          <w:rFonts w:ascii="仿宋" w:hAnsi="仿宋" w:eastAsia="仿宋" w:cs="仿宋"/>
          <w:b/>
          <w:bCs/>
          <w:spacing w:val="13"/>
          <w:sz w:val="31"/>
          <w:szCs w:val="31"/>
        </w:rPr>
        <w:t>危险化学品。</w:t>
      </w:r>
      <w:r>
        <w:rPr>
          <w:rFonts w:hint="eastAsia" w:ascii="仿宋" w:hAnsi="仿宋" w:eastAsia="仿宋" w:cs="仿宋"/>
          <w:spacing w:val="9"/>
          <w:sz w:val="32"/>
          <w:szCs w:val="32"/>
        </w:rPr>
        <w:t>突出“两重点一重大”(重点监管危险化学品、重点监管危险化工工艺、重大危险源)的危险化学品经营企业。</w:t>
      </w:r>
    </w:p>
    <w:p w14:paraId="5158DB8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120" w:firstLine="662" w:firstLineChars="200"/>
        <w:jc w:val="both"/>
        <w:textAlignment w:val="baseline"/>
        <w:rPr>
          <w:rFonts w:hint="eastAsia" w:ascii="仿宋" w:hAnsi="仿宋" w:eastAsia="仿宋" w:cs="仿宋"/>
          <w:spacing w:val="9"/>
          <w:sz w:val="32"/>
          <w:szCs w:val="32"/>
        </w:rPr>
      </w:pPr>
      <w:r>
        <w:rPr>
          <w:rFonts w:ascii="仿宋" w:hAnsi="仿宋" w:eastAsia="仿宋" w:cs="仿宋"/>
          <w:b/>
          <w:bCs/>
          <w:spacing w:val="10"/>
          <w:sz w:val="31"/>
          <w:szCs w:val="31"/>
        </w:rPr>
        <w:t>检查重点：</w:t>
      </w:r>
      <w:r>
        <w:rPr>
          <w:rFonts w:hint="eastAsia" w:ascii="仿宋" w:hAnsi="仿宋" w:eastAsia="仿宋" w:cs="仿宋"/>
          <w:spacing w:val="9"/>
          <w:sz w:val="32"/>
          <w:szCs w:val="32"/>
        </w:rPr>
        <w:t>一是《2026年危险化学品企业安全生产执法检查重点事项指导目录》(应急厅〔2026〕8号)列明的30项执法检查重点事项内容。二是《化工和危险化学品生产经营单位重大生产安全事故隐患判定标准(试行)》(安监总管三〔2017)121号)所列20种重大事故隐患情形。</w:t>
      </w:r>
    </w:p>
    <w:p w14:paraId="55484D6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649" w:firstLine="0"/>
        <w:textAlignment w:val="baseline"/>
        <w:rPr>
          <w:rFonts w:ascii="仿宋" w:hAnsi="仿宋" w:eastAsia="仿宋" w:cs="仿宋"/>
          <w:sz w:val="31"/>
          <w:szCs w:val="31"/>
        </w:rPr>
      </w:pPr>
      <w:r>
        <w:rPr>
          <w:rFonts w:ascii="Times New Roman" w:hAnsi="Times New Roman" w:eastAsia="Times New Roman" w:cs="Times New Roman"/>
          <w:b/>
          <w:bCs/>
          <w:spacing w:val="10"/>
          <w:sz w:val="31"/>
          <w:szCs w:val="31"/>
        </w:rPr>
        <w:t>2.</w:t>
      </w:r>
      <w:r>
        <w:rPr>
          <w:rFonts w:ascii="仿宋" w:hAnsi="仿宋" w:eastAsia="仿宋" w:cs="仿宋"/>
          <w:b/>
          <w:bCs/>
          <w:spacing w:val="10"/>
          <w:sz w:val="31"/>
          <w:szCs w:val="31"/>
        </w:rPr>
        <w:t>烟花爆竹。</w:t>
      </w:r>
      <w:r>
        <w:rPr>
          <w:rFonts w:hint="eastAsia" w:ascii="仿宋" w:hAnsi="仿宋" w:eastAsia="仿宋" w:cs="仿宋"/>
          <w:spacing w:val="9"/>
          <w:sz w:val="32"/>
          <w:szCs w:val="32"/>
        </w:rPr>
        <w:t>突出烟花爆竹批发企业及常年零售店。</w:t>
      </w:r>
    </w:p>
    <w:p w14:paraId="088162F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123" w:firstLine="654" w:firstLineChars="200"/>
        <w:textAlignment w:val="baseline"/>
        <w:rPr>
          <w:rFonts w:hint="eastAsia" w:ascii="仿宋" w:hAnsi="仿宋" w:eastAsia="仿宋" w:cs="仿宋"/>
          <w:spacing w:val="9"/>
          <w:sz w:val="32"/>
          <w:szCs w:val="32"/>
        </w:rPr>
      </w:pPr>
      <w:r>
        <w:rPr>
          <w:rFonts w:ascii="仿宋" w:hAnsi="仿宋" w:eastAsia="仿宋" w:cs="仿宋"/>
          <w:b/>
          <w:bCs/>
          <w:spacing w:val="8"/>
          <w:sz w:val="31"/>
          <w:szCs w:val="31"/>
        </w:rPr>
        <w:t>检查重点：</w:t>
      </w:r>
      <w:r>
        <w:rPr>
          <w:rFonts w:hint="eastAsia" w:ascii="仿宋" w:hAnsi="仿宋" w:eastAsia="仿宋" w:cs="仿宋"/>
          <w:spacing w:val="9"/>
          <w:sz w:val="32"/>
          <w:szCs w:val="32"/>
        </w:rPr>
        <w:t>一是应急管理部提出的烟花爆竹店存在的“六个违规”行为。二是“五个严禁”和“三个务必”硬措施落实情况。三是《烟花爆竹生产经营单位重大生产安全事故隐患判定标准(试行)》(安监总管三〔2017〕121号)所列20种重大事故隐患情形。</w:t>
      </w:r>
    </w:p>
    <w:p w14:paraId="24BFC6C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794" w:firstLine="0"/>
        <w:textAlignment w:val="baseline"/>
        <w:outlineLvl w:val="2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b/>
          <w:bCs/>
          <w:spacing w:val="22"/>
          <w:sz w:val="31"/>
          <w:szCs w:val="31"/>
        </w:rPr>
        <w:t>(二)重点作业企业</w:t>
      </w:r>
    </w:p>
    <w:p w14:paraId="368D8DB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62" w:firstLine="668" w:firstLineChars="200"/>
        <w:jc w:val="both"/>
        <w:textAlignment w:val="baseline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b/>
          <w:bCs/>
          <w:spacing w:val="17"/>
          <w:sz w:val="30"/>
          <w:szCs w:val="30"/>
        </w:rPr>
        <w:t>1.</w:t>
      </w:r>
      <w:r>
        <w:rPr>
          <w:rFonts w:ascii="仿宋" w:hAnsi="仿宋" w:eastAsia="仿宋" w:cs="仿宋"/>
          <w:b/>
          <w:bCs/>
          <w:spacing w:val="17"/>
          <w:sz w:val="30"/>
          <w:szCs w:val="30"/>
        </w:rPr>
        <w:t>粉尘涉爆。</w:t>
      </w:r>
      <w:r>
        <w:rPr>
          <w:rFonts w:hint="eastAsia" w:ascii="仿宋" w:hAnsi="仿宋" w:eastAsia="仿宋" w:cs="仿宋"/>
          <w:spacing w:val="9"/>
          <w:sz w:val="32"/>
          <w:szCs w:val="32"/>
        </w:rPr>
        <w:t>突出涉及爆炸性粉尘的金属制品加工、木制品加工、农副产品加工、纺织品加工、塑料橡胶制品加工、烟草制品加工和建材行业煤粉制备企业。</w:t>
      </w:r>
    </w:p>
    <w:p w14:paraId="264A664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63" w:firstLine="674" w:firstLineChars="200"/>
        <w:jc w:val="both"/>
        <w:textAlignment w:val="baseline"/>
        <w:rPr>
          <w:rFonts w:hint="eastAsia" w:ascii="仿宋" w:hAnsi="仿宋" w:eastAsia="仿宋" w:cs="仿宋"/>
          <w:spacing w:val="9"/>
          <w:sz w:val="32"/>
          <w:szCs w:val="32"/>
        </w:rPr>
      </w:pPr>
      <w:r>
        <w:rPr>
          <w:rFonts w:ascii="仿宋" w:hAnsi="仿宋" w:eastAsia="仿宋" w:cs="仿宋"/>
          <w:b/>
          <w:bCs/>
          <w:spacing w:val="18"/>
          <w:sz w:val="30"/>
          <w:szCs w:val="30"/>
        </w:rPr>
        <w:t>检查重点：</w:t>
      </w:r>
      <w:r>
        <w:rPr>
          <w:rFonts w:hint="eastAsia" w:ascii="仿宋" w:hAnsi="仿宋" w:eastAsia="仿宋" w:cs="仿宋"/>
          <w:spacing w:val="9"/>
          <w:sz w:val="32"/>
          <w:szCs w:val="32"/>
        </w:rPr>
        <w:t>一是《工贸企业重大事故隐患判定标准》(应急管理部令第10号)所列存在粉尘爆炸危险的工贸企业10种重大事故隐患情形。二是《工贸企业粉尘防爆安全规定》(应急管理部令第6号)有粉尘防爆基础管理、风险管控、设施与操作和应急处置等执行情况。</w:t>
      </w:r>
    </w:p>
    <w:p w14:paraId="2112FF9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72" w:firstLineChars="200"/>
        <w:jc w:val="both"/>
        <w:textAlignment w:val="baseline"/>
        <w:rPr>
          <w:rFonts w:ascii="仿宋" w:hAnsi="仿宋" w:eastAsia="仿宋" w:cs="仿宋"/>
          <w:sz w:val="30"/>
          <w:szCs w:val="30"/>
        </w:rPr>
      </w:pPr>
      <w:r>
        <w:rPr>
          <w:rFonts w:ascii="Times New Roman" w:hAnsi="Times New Roman" w:eastAsia="Times New Roman" w:cs="Times New Roman"/>
          <w:b/>
          <w:bCs/>
          <w:spacing w:val="18"/>
          <w:sz w:val="30"/>
          <w:szCs w:val="30"/>
        </w:rPr>
        <w:t>2.</w:t>
      </w:r>
      <w:r>
        <w:rPr>
          <w:rFonts w:ascii="仿宋" w:hAnsi="仿宋" w:eastAsia="仿宋" w:cs="仿宋"/>
          <w:b/>
          <w:bCs/>
          <w:spacing w:val="18"/>
          <w:sz w:val="30"/>
          <w:szCs w:val="30"/>
        </w:rPr>
        <w:t>有限空间。</w:t>
      </w:r>
      <w:r>
        <w:rPr>
          <w:rFonts w:hint="eastAsia" w:ascii="仿宋" w:hAnsi="仿宋" w:eastAsia="仿宋" w:cs="仿宋"/>
          <w:spacing w:val="9"/>
          <w:sz w:val="32"/>
          <w:szCs w:val="32"/>
        </w:rPr>
        <w:t>突出涉及《应急管理部办公厅关于印发工贸企业有限空间重点监管目录的通知(应急厅〔2023〕37号)》行业中有限空间作业场所。</w:t>
      </w:r>
    </w:p>
    <w:p w14:paraId="1A2FF9A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58" w:firstLine="674" w:firstLineChars="200"/>
        <w:jc w:val="both"/>
        <w:textAlignment w:val="baseline"/>
        <w:rPr>
          <w:rFonts w:hint="eastAsia" w:ascii="仿宋" w:hAnsi="仿宋" w:eastAsia="仿宋" w:cs="仿宋"/>
          <w:spacing w:val="9"/>
          <w:sz w:val="32"/>
          <w:szCs w:val="32"/>
        </w:rPr>
      </w:pPr>
      <w:r>
        <w:rPr>
          <w:rFonts w:ascii="仿宋" w:hAnsi="仿宋" w:eastAsia="仿宋" w:cs="仿宋"/>
          <w:b/>
          <w:bCs/>
          <w:spacing w:val="18"/>
          <w:sz w:val="30"/>
          <w:szCs w:val="30"/>
        </w:rPr>
        <w:t>检查重点：</w:t>
      </w:r>
      <w:r>
        <w:rPr>
          <w:rFonts w:hint="eastAsia" w:ascii="仿宋" w:hAnsi="仿宋" w:eastAsia="仿宋" w:cs="仿宋"/>
          <w:spacing w:val="9"/>
          <w:sz w:val="32"/>
          <w:szCs w:val="32"/>
        </w:rPr>
        <w:t>一是《工贸企业重大事故隐患判定标准》(应急管理部令第10号)所列存在硫化氢、一氧化碳等中毒风险的有限空间作业的工贸企业2种重大事故隐患情形。二是《工贸企业有限空间作业安全规定》(应急管理部令第13号)中有限空间作业管理制度、安全培训、作业审批、防护用品、应急救援装备、操作规程和应急处置等执行情况。</w:t>
      </w:r>
    </w:p>
    <w:p w14:paraId="6275A12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794" w:firstLine="0"/>
        <w:textAlignment w:val="baseline"/>
        <w:outlineLvl w:val="2"/>
        <w:rPr>
          <w:rFonts w:ascii="楷体" w:hAnsi="楷体" w:eastAsia="楷体" w:cs="楷体"/>
          <w:b/>
          <w:bCs/>
          <w:spacing w:val="22"/>
          <w:sz w:val="31"/>
          <w:szCs w:val="31"/>
        </w:rPr>
      </w:pPr>
      <w:r>
        <w:rPr>
          <w:rFonts w:ascii="楷体" w:hAnsi="楷体" w:eastAsia="楷体" w:cs="楷体"/>
          <w:b/>
          <w:bCs/>
          <w:spacing w:val="22"/>
          <w:sz w:val="31"/>
          <w:szCs w:val="31"/>
        </w:rPr>
        <w:t>(三)重点岗位人员</w:t>
      </w:r>
    </w:p>
    <w:p w14:paraId="4B70FFA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144" w:firstLine="648" w:firstLineChars="200"/>
        <w:textAlignment w:val="baseline"/>
        <w:rPr>
          <w:rFonts w:hint="eastAsia" w:ascii="仿宋" w:hAnsi="仿宋" w:eastAsia="仿宋" w:cs="仿宋"/>
          <w:spacing w:val="9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pacing w:val="7"/>
          <w:sz w:val="31"/>
          <w:szCs w:val="31"/>
        </w:rPr>
        <w:t>1.</w:t>
      </w:r>
      <w:r>
        <w:rPr>
          <w:rFonts w:ascii="仿宋" w:hAnsi="仿宋" w:eastAsia="仿宋" w:cs="仿宋"/>
          <w:b/>
          <w:bCs/>
          <w:spacing w:val="7"/>
          <w:sz w:val="31"/>
          <w:szCs w:val="31"/>
        </w:rPr>
        <w:t>主要负责人。</w:t>
      </w:r>
      <w:r>
        <w:rPr>
          <w:rFonts w:hint="eastAsia" w:ascii="仿宋" w:hAnsi="仿宋" w:eastAsia="仿宋" w:cs="仿宋"/>
          <w:spacing w:val="9"/>
          <w:sz w:val="32"/>
          <w:szCs w:val="32"/>
        </w:rPr>
        <w:t>突出危险物品经营、储存、装卸单位的法定代表人和实际控制人依法履职情况。</w:t>
      </w:r>
    </w:p>
    <w:p w14:paraId="3A00836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129" w:firstLine="642" w:firstLineChars="200"/>
        <w:textAlignment w:val="baseline"/>
        <w:rPr>
          <w:rFonts w:hint="eastAsia" w:ascii="仿宋" w:hAnsi="仿宋" w:eastAsia="仿宋" w:cs="仿宋"/>
          <w:spacing w:val="9"/>
          <w:sz w:val="32"/>
          <w:szCs w:val="32"/>
        </w:rPr>
      </w:pPr>
      <w:r>
        <w:rPr>
          <w:rFonts w:ascii="仿宋" w:hAnsi="仿宋" w:eastAsia="仿宋" w:cs="仿宋"/>
          <w:b/>
          <w:bCs/>
          <w:spacing w:val="10"/>
          <w:sz w:val="30"/>
          <w:szCs w:val="30"/>
        </w:rPr>
        <w:t>检查重点：</w:t>
      </w:r>
      <w:r>
        <w:rPr>
          <w:rFonts w:hint="eastAsia" w:ascii="仿宋" w:hAnsi="仿宋" w:eastAsia="仿宋" w:cs="仿宋"/>
          <w:spacing w:val="9"/>
          <w:sz w:val="32"/>
          <w:szCs w:val="32"/>
        </w:rPr>
        <w:t>《中华人民共和国安全生产法》第二十一条所列7项职责落实情况。</w:t>
      </w:r>
    </w:p>
    <w:p w14:paraId="5577EDC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textAlignment w:val="baseline"/>
        <w:rPr>
          <w:rFonts w:hint="eastAsia" w:ascii="仿宋" w:hAnsi="仿宋" w:eastAsia="仿宋" w:cs="仿宋"/>
          <w:spacing w:val="9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spacing w:val="10"/>
          <w:sz w:val="30"/>
          <w:szCs w:val="30"/>
        </w:rPr>
        <w:t>2.</w:t>
      </w:r>
      <w:r>
        <w:rPr>
          <w:rFonts w:ascii="仿宋" w:hAnsi="仿宋" w:eastAsia="仿宋" w:cs="仿宋"/>
          <w:b/>
          <w:bCs/>
          <w:spacing w:val="10"/>
          <w:sz w:val="30"/>
          <w:szCs w:val="30"/>
        </w:rPr>
        <w:t>安全管理人员。</w:t>
      </w:r>
      <w:r>
        <w:rPr>
          <w:rFonts w:hint="eastAsia" w:ascii="仿宋" w:hAnsi="仿宋" w:eastAsia="仿宋" w:cs="仿宋"/>
          <w:spacing w:val="9"/>
          <w:sz w:val="32"/>
          <w:szCs w:val="32"/>
        </w:rPr>
        <w:t>突出危险物品经营、储存、装卸单位的安全管理机构和安全生产管理人员依法履职情况。</w:t>
      </w:r>
    </w:p>
    <w:p w14:paraId="0F4E069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149" w:firstLine="642" w:firstLineChars="200"/>
        <w:textAlignment w:val="baseline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/>
          <w:bCs/>
          <w:spacing w:val="10"/>
          <w:sz w:val="30"/>
          <w:szCs w:val="30"/>
        </w:rPr>
        <w:t>检查重点：</w:t>
      </w:r>
      <w:r>
        <w:rPr>
          <w:rFonts w:hint="eastAsia" w:ascii="仿宋" w:hAnsi="仿宋" w:eastAsia="仿宋" w:cs="仿宋"/>
          <w:spacing w:val="9"/>
          <w:sz w:val="32"/>
          <w:szCs w:val="32"/>
        </w:rPr>
        <w:t>《中华人民共和国安全生产法》第二十五条所列7项职责落实情况。</w:t>
      </w:r>
    </w:p>
    <w:p w14:paraId="0F8938B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630" w:firstLine="0"/>
        <w:textAlignment w:val="baseline"/>
        <w:rPr>
          <w:rFonts w:ascii="仿宋" w:hAnsi="仿宋" w:eastAsia="仿宋" w:cs="仿宋"/>
          <w:sz w:val="31"/>
          <w:szCs w:val="31"/>
        </w:rPr>
      </w:pPr>
      <w:r>
        <w:rPr>
          <w:rFonts w:ascii="Times New Roman" w:hAnsi="Times New Roman" w:eastAsia="Times New Roman" w:cs="Times New Roman"/>
          <w:b/>
          <w:bCs/>
          <w:spacing w:val="7"/>
          <w:sz w:val="31"/>
          <w:szCs w:val="31"/>
        </w:rPr>
        <w:t>3.</w:t>
      </w:r>
      <w:r>
        <w:rPr>
          <w:rFonts w:ascii="仿宋" w:hAnsi="仿宋" w:eastAsia="仿宋" w:cs="仿宋"/>
          <w:b/>
          <w:bCs/>
          <w:spacing w:val="7"/>
          <w:sz w:val="31"/>
          <w:szCs w:val="31"/>
        </w:rPr>
        <w:t>特种作业人员。</w:t>
      </w:r>
      <w:r>
        <w:rPr>
          <w:rFonts w:hint="eastAsia" w:ascii="仿宋" w:hAnsi="仿宋" w:eastAsia="仿宋" w:cs="仿宋"/>
          <w:spacing w:val="9"/>
          <w:sz w:val="32"/>
          <w:szCs w:val="32"/>
        </w:rPr>
        <w:t>突出应急管理直管行业领域企业。</w:t>
      </w:r>
    </w:p>
    <w:p w14:paraId="3CDD84E5">
      <w:pPr>
        <w:keepNext w:val="0"/>
        <w:keepLines w:val="0"/>
        <w:pageBreakBefore w:val="0"/>
        <w:widowControl/>
        <w:tabs>
          <w:tab w:val="left" w:pos="150"/>
        </w:tabs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29" w:firstLine="646" w:firstLineChars="200"/>
        <w:textAlignment w:val="baseline"/>
        <w:rPr>
          <w:rFonts w:hint="eastAsia" w:ascii="仿宋" w:hAnsi="仿宋" w:eastAsia="仿宋" w:cs="仿宋"/>
          <w:spacing w:val="9"/>
          <w:sz w:val="32"/>
          <w:szCs w:val="32"/>
        </w:rPr>
      </w:pPr>
      <w:r>
        <w:rPr>
          <w:rFonts w:ascii="仿宋" w:hAnsi="仿宋" w:eastAsia="仿宋" w:cs="仿宋"/>
          <w:b/>
          <w:bCs/>
          <w:spacing w:val="11"/>
          <w:sz w:val="30"/>
          <w:szCs w:val="30"/>
        </w:rPr>
        <w:t>检查重点：</w:t>
      </w:r>
      <w:r>
        <w:rPr>
          <w:rFonts w:hint="eastAsia" w:ascii="仿宋" w:hAnsi="仿宋" w:eastAsia="仿宋" w:cs="仿宋"/>
          <w:spacing w:val="9"/>
          <w:sz w:val="32"/>
          <w:szCs w:val="32"/>
        </w:rPr>
        <w:t>《特种作业人员安全技术培训考核管理规定》</w:t>
      </w:r>
      <w:r>
        <w:rPr>
          <w:rFonts w:hint="eastAsia" w:ascii="仿宋" w:hAnsi="仿宋" w:eastAsia="仿宋" w:cs="仿宋"/>
          <w:spacing w:val="9"/>
          <w:sz w:val="32"/>
          <w:szCs w:val="32"/>
        </w:rPr>
        <w:tab/>
      </w:r>
      <w:r>
        <w:rPr>
          <w:rFonts w:hint="eastAsia" w:ascii="仿宋" w:hAnsi="仿宋" w:eastAsia="仿宋" w:cs="仿宋"/>
          <w:spacing w:val="9"/>
          <w:sz w:val="32"/>
          <w:szCs w:val="32"/>
        </w:rPr>
        <w:t>(应急管理部令第19号)中规定的特种作业人员安全管理、建立档案、持证上岗情况；特种作业人员培训、复训、考核情况；外包或兼职特种作业人员资质、台账、审批作业等安全管理情况。爆破、吊装、动火、临时用电等危险作业，安全管理制度、措施、审批等执行情况。</w:t>
      </w:r>
    </w:p>
    <w:p w14:paraId="14EA226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620" w:firstLine="0"/>
        <w:textAlignment w:val="baseline"/>
        <w:rPr>
          <w:rFonts w:ascii="黑体" w:hAnsi="黑体" w:eastAsia="黑体" w:cs="黑体"/>
          <w:sz w:val="29"/>
          <w:szCs w:val="29"/>
        </w:rPr>
      </w:pPr>
      <w:r>
        <w:rPr>
          <w:rFonts w:ascii="黑体" w:hAnsi="黑体" w:eastAsia="黑体" w:cs="黑体"/>
          <w:spacing w:val="14"/>
          <w:sz w:val="29"/>
          <w:szCs w:val="29"/>
        </w:rPr>
        <w:t>三、工作要求</w:t>
      </w:r>
    </w:p>
    <w:p w14:paraId="76B857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7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napToGrid w:val="0"/>
          <w:color w:val="000000"/>
          <w:spacing w:val="-4"/>
          <w:kern w:val="0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b/>
          <w:bCs/>
          <w:snapToGrid w:val="0"/>
          <w:color w:val="000000"/>
          <w:spacing w:val="-4"/>
          <w:kern w:val="0"/>
          <w:sz w:val="32"/>
          <w:szCs w:val="32"/>
          <w:lang w:eastAsia="en-US"/>
        </w:rPr>
        <w:t>一</w:t>
      </w:r>
      <w:r>
        <w:rPr>
          <w:rFonts w:hint="eastAsia" w:ascii="楷体" w:hAnsi="楷体" w:eastAsia="楷体" w:cs="楷体"/>
          <w:b/>
          <w:bCs/>
          <w:snapToGrid w:val="0"/>
          <w:color w:val="000000"/>
          <w:spacing w:val="-4"/>
          <w:kern w:val="0"/>
          <w:sz w:val="32"/>
          <w:szCs w:val="32"/>
          <w:lang w:eastAsia="zh-CN"/>
        </w:rPr>
        <w:t>）</w:t>
      </w:r>
      <w:r>
        <w:rPr>
          <w:rFonts w:hint="eastAsia" w:ascii="楷体" w:hAnsi="楷体" w:eastAsia="楷体" w:cs="楷体"/>
          <w:b/>
          <w:bCs/>
          <w:snapToGrid w:val="0"/>
          <w:color w:val="000000"/>
          <w:spacing w:val="-4"/>
          <w:kern w:val="0"/>
          <w:sz w:val="32"/>
          <w:szCs w:val="32"/>
          <w:lang w:eastAsia="en-US"/>
        </w:rPr>
        <w:t>提高思想认识，全面压实主体责任</w:t>
      </w:r>
    </w:p>
    <w:p w14:paraId="323696F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jc w:val="left"/>
        <w:textAlignment w:val="baseline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各企业须坚守人民至上、生命至上理念，高度重视安全生产利剑行动，以此为抓手排查整治隐患、防范安全事故。主动配合风险排查会诊，立足经营实际细化管控举措，压实各岗位人员安全职责，逐级逐项落实安全任务。务实开展隐患整改，杜绝形式主义、敷衍推诿，全力筑牢安全生产防护屏障。</w:t>
      </w:r>
    </w:p>
    <w:p w14:paraId="6AB5685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27" w:firstLineChars="200"/>
        <w:jc w:val="left"/>
        <w:textAlignment w:val="baseline"/>
        <w:rPr>
          <w:rFonts w:hint="eastAsia" w:ascii="楷体" w:hAnsi="楷体" w:eastAsia="楷体" w:cs="楷体"/>
          <w:b/>
          <w:bCs/>
          <w:snapToGrid w:val="0"/>
          <w:color w:val="000000"/>
          <w:spacing w:val="-4"/>
          <w:kern w:val="0"/>
          <w:sz w:val="32"/>
          <w:szCs w:val="32"/>
          <w:lang w:eastAsia="en-US"/>
        </w:rPr>
      </w:pPr>
      <w:r>
        <w:rPr>
          <w:rFonts w:hint="eastAsia" w:ascii="楷体" w:hAnsi="楷体" w:eastAsia="楷体" w:cs="楷体"/>
          <w:b/>
          <w:bCs/>
          <w:snapToGrid w:val="0"/>
          <w:color w:val="000000"/>
          <w:spacing w:val="-4"/>
          <w:kern w:val="0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b/>
          <w:bCs/>
          <w:snapToGrid w:val="0"/>
          <w:color w:val="000000"/>
          <w:spacing w:val="-4"/>
          <w:kern w:val="0"/>
          <w:sz w:val="32"/>
          <w:szCs w:val="32"/>
          <w:lang w:eastAsia="en-US"/>
        </w:rPr>
        <w:t>二</w:t>
      </w:r>
      <w:r>
        <w:rPr>
          <w:rFonts w:hint="eastAsia" w:ascii="楷体" w:hAnsi="楷体" w:eastAsia="楷体" w:cs="楷体"/>
          <w:b/>
          <w:bCs/>
          <w:snapToGrid w:val="0"/>
          <w:color w:val="000000"/>
          <w:spacing w:val="-4"/>
          <w:kern w:val="0"/>
          <w:sz w:val="32"/>
          <w:szCs w:val="32"/>
          <w:lang w:eastAsia="zh-CN"/>
        </w:rPr>
        <w:t>）</w:t>
      </w:r>
      <w:r>
        <w:rPr>
          <w:rFonts w:hint="eastAsia" w:ascii="楷体" w:hAnsi="楷体" w:eastAsia="楷体" w:cs="楷体"/>
          <w:b/>
          <w:bCs/>
          <w:snapToGrid w:val="0"/>
          <w:color w:val="000000"/>
          <w:spacing w:val="-4"/>
          <w:kern w:val="0"/>
          <w:sz w:val="32"/>
          <w:szCs w:val="32"/>
          <w:lang w:eastAsia="en-US"/>
        </w:rPr>
        <w:t>主动配合监管，规范对接执法检查</w:t>
      </w:r>
    </w:p>
    <w:p w14:paraId="614F5E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本次行动规范涉企执法，推行跨部门跨层级联合检查，减少重复督查，减轻企业负担。企业需主动配合检查，严格依照现行安全标准生产作业，严禁违规操作与标准混用。本局落实执法三项制度，依托线上系统执法留痕溯源，秉持执法普法并重原则。企业应自觉学法守法，积极配合执法流程，依规做好文书对接工作。</w:t>
      </w:r>
    </w:p>
    <w:p w14:paraId="1866FF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7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napToGrid w:val="0"/>
          <w:color w:val="000000"/>
          <w:spacing w:val="-4"/>
          <w:kern w:val="0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b/>
          <w:bCs/>
          <w:snapToGrid w:val="0"/>
          <w:color w:val="000000"/>
          <w:spacing w:val="-4"/>
          <w:kern w:val="0"/>
          <w:sz w:val="32"/>
          <w:szCs w:val="32"/>
          <w:lang w:eastAsia="en-US"/>
        </w:rPr>
        <w:t>三</w:t>
      </w:r>
      <w:r>
        <w:rPr>
          <w:rFonts w:hint="eastAsia" w:ascii="楷体" w:hAnsi="楷体" w:eastAsia="楷体" w:cs="楷体"/>
          <w:b/>
          <w:bCs/>
          <w:snapToGrid w:val="0"/>
          <w:color w:val="000000"/>
          <w:spacing w:val="-4"/>
          <w:kern w:val="0"/>
          <w:sz w:val="32"/>
          <w:szCs w:val="32"/>
          <w:lang w:eastAsia="zh-CN"/>
        </w:rPr>
        <w:t>）</w:t>
      </w:r>
      <w:r>
        <w:rPr>
          <w:rFonts w:hint="eastAsia" w:ascii="楷体" w:hAnsi="楷体" w:eastAsia="楷体" w:cs="楷体"/>
          <w:b/>
          <w:bCs/>
          <w:snapToGrid w:val="0"/>
          <w:color w:val="000000"/>
          <w:spacing w:val="-4"/>
          <w:kern w:val="0"/>
          <w:sz w:val="32"/>
          <w:szCs w:val="32"/>
          <w:lang w:eastAsia="en-US"/>
        </w:rPr>
        <w:t>严守安全底线，从严落实隐患整改</w:t>
      </w:r>
    </w:p>
    <w:p w14:paraId="2648E62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jc w:val="left"/>
        <w:textAlignment w:val="baseline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我局紧盯重大隐患与关键风险精准督查，从严查处各类安全生产违法行为。企业须全面自查自纠，整治证件造假、无证上岗及三违乱象，溯源补齐管理短板，完善长效管控。行动兼顾包容审慎与严格监管，主动整改隐患可依规免罚，敷衍拒不整改将落实一案双罚追责相关责任人。隐患实行闭环管控，务必按时保质整改，实现隐患全部清零。</w:t>
      </w:r>
    </w:p>
    <w:p w14:paraId="2D4D26F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27" w:firstLineChars="200"/>
        <w:jc w:val="left"/>
        <w:textAlignment w:val="baseline"/>
        <w:rPr>
          <w:rFonts w:hint="eastAsia" w:ascii="楷体" w:hAnsi="楷体" w:eastAsia="楷体" w:cs="楷体"/>
          <w:b/>
          <w:bCs/>
          <w:snapToGrid w:val="0"/>
          <w:color w:val="000000"/>
          <w:spacing w:val="-4"/>
          <w:kern w:val="0"/>
          <w:sz w:val="32"/>
          <w:szCs w:val="32"/>
          <w:lang w:eastAsia="en-US"/>
        </w:rPr>
      </w:pPr>
      <w:r>
        <w:rPr>
          <w:rFonts w:hint="eastAsia" w:ascii="楷体" w:hAnsi="楷体" w:eastAsia="楷体" w:cs="楷体"/>
          <w:b/>
          <w:bCs/>
          <w:snapToGrid w:val="0"/>
          <w:color w:val="000000"/>
          <w:spacing w:val="-4"/>
          <w:kern w:val="0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b/>
          <w:bCs/>
          <w:snapToGrid w:val="0"/>
          <w:color w:val="000000"/>
          <w:spacing w:val="-4"/>
          <w:kern w:val="0"/>
          <w:sz w:val="32"/>
          <w:szCs w:val="32"/>
          <w:lang w:eastAsia="en-US"/>
        </w:rPr>
        <w:t>四</w:t>
      </w:r>
      <w:r>
        <w:rPr>
          <w:rFonts w:hint="eastAsia" w:ascii="楷体" w:hAnsi="楷体" w:eastAsia="楷体" w:cs="楷体"/>
          <w:b/>
          <w:bCs/>
          <w:snapToGrid w:val="0"/>
          <w:color w:val="000000"/>
          <w:spacing w:val="-4"/>
          <w:kern w:val="0"/>
          <w:sz w:val="32"/>
          <w:szCs w:val="32"/>
          <w:lang w:eastAsia="zh-CN"/>
        </w:rPr>
        <w:t>）</w:t>
      </w:r>
      <w:r>
        <w:rPr>
          <w:rFonts w:hint="eastAsia" w:ascii="楷体" w:hAnsi="楷体" w:eastAsia="楷体" w:cs="楷体"/>
          <w:b/>
          <w:bCs/>
          <w:snapToGrid w:val="0"/>
          <w:color w:val="000000"/>
          <w:spacing w:val="-4"/>
          <w:kern w:val="0"/>
          <w:sz w:val="32"/>
          <w:szCs w:val="32"/>
          <w:lang w:eastAsia="en-US"/>
        </w:rPr>
        <w:t>主动学习宣传，营造安全共治氛围</w:t>
      </w:r>
    </w:p>
    <w:p w14:paraId="2A75E4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各企业及时关注利剑行动相关部署、政策解读与工作动态，常态化组织员工学习安全法规与典型案例。以案为鉴开展警示教育，切实提升全员安全意识与岗位履职能力。畅通内部隐患自查渠道，借助政务热线、安全吹哨人等监督途径，自觉接受社会监督，携手共建政企联动、群防群治的安全共治体系。</w:t>
      </w:r>
    </w:p>
    <w:p w14:paraId="433D661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27" w:firstLineChars="200"/>
        <w:jc w:val="left"/>
        <w:textAlignment w:val="baseline"/>
        <w:rPr>
          <w:rFonts w:hint="eastAsia" w:ascii="楷体" w:hAnsi="楷体" w:eastAsia="楷体" w:cs="楷体"/>
          <w:b/>
          <w:bCs/>
          <w:snapToGrid w:val="0"/>
          <w:color w:val="000000"/>
          <w:spacing w:val="-4"/>
          <w:kern w:val="0"/>
          <w:sz w:val="32"/>
          <w:szCs w:val="32"/>
          <w:lang w:eastAsia="en-US"/>
        </w:rPr>
      </w:pPr>
      <w:r>
        <w:rPr>
          <w:rFonts w:hint="eastAsia" w:ascii="楷体" w:hAnsi="楷体" w:eastAsia="楷体" w:cs="楷体"/>
          <w:b/>
          <w:bCs/>
          <w:snapToGrid w:val="0"/>
          <w:color w:val="000000"/>
          <w:spacing w:val="-4"/>
          <w:kern w:val="0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b/>
          <w:bCs/>
          <w:snapToGrid w:val="0"/>
          <w:color w:val="000000"/>
          <w:spacing w:val="-4"/>
          <w:kern w:val="0"/>
          <w:sz w:val="32"/>
          <w:szCs w:val="32"/>
          <w:lang w:eastAsia="en-US"/>
        </w:rPr>
        <w:t>五</w:t>
      </w:r>
      <w:r>
        <w:rPr>
          <w:rFonts w:hint="eastAsia" w:ascii="楷体" w:hAnsi="楷体" w:eastAsia="楷体" w:cs="楷体"/>
          <w:b/>
          <w:bCs/>
          <w:snapToGrid w:val="0"/>
          <w:color w:val="000000"/>
          <w:spacing w:val="-4"/>
          <w:kern w:val="0"/>
          <w:sz w:val="32"/>
          <w:szCs w:val="32"/>
          <w:lang w:eastAsia="zh-CN"/>
        </w:rPr>
        <w:t>）</w:t>
      </w:r>
      <w:r>
        <w:rPr>
          <w:rFonts w:hint="eastAsia" w:ascii="楷体" w:hAnsi="楷体" w:eastAsia="楷体" w:cs="楷体"/>
          <w:b/>
          <w:bCs/>
          <w:snapToGrid w:val="0"/>
          <w:color w:val="000000"/>
          <w:spacing w:val="-4"/>
          <w:kern w:val="0"/>
          <w:sz w:val="32"/>
          <w:szCs w:val="32"/>
          <w:lang w:eastAsia="en-US"/>
        </w:rPr>
        <w:t>恪守合规准则，规范对接监管工作</w:t>
      </w:r>
    </w:p>
    <w:p w14:paraId="77CCA2E8">
      <w:pPr>
        <w:pStyle w:val="2"/>
        <w:spacing w:line="260" w:lineRule="auto"/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执法人员入企检查将统一着装、亮证执法，严守执法用语规范与流程标准，恪守涉企检查相关禁令，坚持公正文明执法。企业应端正态度、依规对接检查工作，全力配合执法开展，严格落实安全生产各项管理规定，携手维护平稳有序的安全监管秩序。</w:t>
      </w:r>
    </w:p>
    <w:p w14:paraId="7D4F39AF">
      <w:pPr>
        <w:pStyle w:val="2"/>
        <w:spacing w:line="260" w:lineRule="auto"/>
      </w:pPr>
    </w:p>
    <w:p w14:paraId="0F7C0B33">
      <w:pPr>
        <w:pStyle w:val="2"/>
        <w:spacing w:line="260" w:lineRule="auto"/>
      </w:pPr>
    </w:p>
    <w:p w14:paraId="2D010194">
      <w:pPr>
        <w:pStyle w:val="2"/>
        <w:spacing w:line="260" w:lineRule="auto"/>
        <w:ind w:firstLine="676" w:firstLineChars="200"/>
        <w:rPr>
          <w:rFonts w:hint="eastAsia" w:ascii="仿宋" w:hAnsi="仿宋" w:eastAsia="仿宋" w:cs="仿宋"/>
          <w:snapToGrid w:val="0"/>
          <w:color w:val="000000"/>
          <w:spacing w:val="9"/>
          <w:kern w:val="0"/>
          <w:sz w:val="32"/>
          <w:szCs w:val="32"/>
          <w:lang w:val="en-US" w:eastAsia="zh-CN" w:bidi="ar-SA"/>
        </w:rPr>
      </w:pPr>
    </w:p>
    <w:p w14:paraId="2AC4F2A9">
      <w:pPr>
        <w:pStyle w:val="2"/>
        <w:spacing w:line="260" w:lineRule="auto"/>
        <w:ind w:firstLine="676" w:firstLineChars="200"/>
        <w:rPr>
          <w:rFonts w:hint="default" w:ascii="仿宋" w:hAnsi="仿宋" w:eastAsia="仿宋" w:cs="仿宋"/>
          <w:snapToGrid w:val="0"/>
          <w:color w:val="000000"/>
          <w:spacing w:val="9"/>
          <w:kern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snapToGrid w:val="0"/>
          <w:color w:val="000000"/>
          <w:spacing w:val="9"/>
          <w:kern w:val="0"/>
          <w:sz w:val="32"/>
          <w:szCs w:val="32"/>
          <w:lang w:val="en-US" w:eastAsia="zh-CN" w:bidi="ar-SA"/>
        </w:rPr>
        <w:t>附件：望奎县应急管理局</w:t>
      </w:r>
      <w:r>
        <w:rPr>
          <w:rFonts w:hint="eastAsia" w:ascii="仿宋" w:hAnsi="仿宋" w:eastAsia="仿宋" w:cs="仿宋"/>
          <w:snapToGrid w:val="0"/>
          <w:color w:val="000000"/>
          <w:spacing w:val="9"/>
          <w:kern w:val="0"/>
          <w:sz w:val="32"/>
          <w:szCs w:val="32"/>
          <w:lang w:val="en-US" w:eastAsia="en-US" w:bidi="ar-SA"/>
        </w:rPr>
        <w:t>安全生产执法“利剑行动-2026”</w:t>
      </w:r>
      <w:r>
        <w:rPr>
          <w:rFonts w:hint="eastAsia" w:ascii="仿宋" w:hAnsi="仿宋" w:eastAsia="仿宋" w:cs="仿宋"/>
          <w:snapToGrid w:val="0"/>
          <w:color w:val="000000"/>
          <w:spacing w:val="9"/>
          <w:kern w:val="0"/>
          <w:sz w:val="32"/>
          <w:szCs w:val="32"/>
          <w:lang w:val="en-US" w:eastAsia="zh-CN" w:bidi="ar-SA"/>
        </w:rPr>
        <w:t>企业名单</w:t>
      </w:r>
    </w:p>
    <w:p w14:paraId="0FA5CDB4">
      <w:pPr>
        <w:pStyle w:val="2"/>
        <w:spacing w:line="260" w:lineRule="auto"/>
      </w:pPr>
    </w:p>
    <w:p w14:paraId="27CCB0AC">
      <w:pPr>
        <w:pStyle w:val="2"/>
      </w:pPr>
    </w:p>
    <w:p w14:paraId="472AAC42">
      <w:pPr>
        <w:pStyle w:val="2"/>
      </w:pPr>
    </w:p>
    <w:p w14:paraId="461592AB">
      <w:pPr>
        <w:pStyle w:val="2"/>
      </w:pPr>
    </w:p>
    <w:p w14:paraId="36A4764C">
      <w:pPr>
        <w:pStyle w:val="2"/>
      </w:pPr>
    </w:p>
    <w:p w14:paraId="17D3C2E1">
      <w:pPr>
        <w:pStyle w:val="2"/>
      </w:pPr>
    </w:p>
    <w:p w14:paraId="1879BA48">
      <w:pPr>
        <w:pStyle w:val="2"/>
      </w:pPr>
    </w:p>
    <w:p w14:paraId="34875DF7">
      <w:pPr>
        <w:pStyle w:val="2"/>
      </w:pPr>
    </w:p>
    <w:p w14:paraId="703EF48B">
      <w:pPr>
        <w:pStyle w:val="2"/>
      </w:pPr>
    </w:p>
    <w:p w14:paraId="6A6151A2">
      <w:pPr>
        <w:pStyle w:val="2"/>
      </w:pPr>
    </w:p>
    <w:p w14:paraId="2A941529">
      <w:pPr>
        <w:pStyle w:val="2"/>
      </w:pPr>
    </w:p>
    <w:p w14:paraId="75BC798B">
      <w:pPr>
        <w:pStyle w:val="2"/>
      </w:pPr>
    </w:p>
    <w:p w14:paraId="74A56FF5">
      <w:pPr>
        <w:pStyle w:val="2"/>
      </w:pPr>
    </w:p>
    <w:p w14:paraId="6EC0F929">
      <w:pPr>
        <w:pStyle w:val="2"/>
      </w:pPr>
    </w:p>
    <w:p w14:paraId="7B12BE40">
      <w:pPr>
        <w:pStyle w:val="2"/>
      </w:pPr>
    </w:p>
    <w:p w14:paraId="03F2E3F5">
      <w:pPr>
        <w:pStyle w:val="2"/>
      </w:pPr>
    </w:p>
    <w:p w14:paraId="28B8C787">
      <w:pPr>
        <w:pStyle w:val="2"/>
      </w:pPr>
    </w:p>
    <w:p w14:paraId="4C89FDBE">
      <w:pPr>
        <w:pStyle w:val="2"/>
      </w:pPr>
    </w:p>
    <w:p w14:paraId="7AB6F187">
      <w:pPr>
        <w:pStyle w:val="2"/>
      </w:pPr>
    </w:p>
    <w:p w14:paraId="05C23860">
      <w:pPr>
        <w:pStyle w:val="2"/>
      </w:pPr>
    </w:p>
    <w:p w14:paraId="23CC71AC">
      <w:pPr>
        <w:pStyle w:val="2"/>
      </w:pPr>
    </w:p>
    <w:p w14:paraId="6A011447">
      <w:pPr>
        <w:pStyle w:val="2"/>
      </w:pPr>
    </w:p>
    <w:p w14:paraId="7718698B">
      <w:pPr>
        <w:pStyle w:val="2"/>
      </w:pPr>
    </w:p>
    <w:p w14:paraId="03EE6702">
      <w:pPr>
        <w:pStyle w:val="2"/>
      </w:pPr>
    </w:p>
    <w:p w14:paraId="49F44DD6">
      <w:pPr>
        <w:pStyle w:val="2"/>
      </w:pPr>
    </w:p>
    <w:p w14:paraId="1B0A9C40">
      <w:pPr>
        <w:pStyle w:val="2"/>
      </w:pPr>
    </w:p>
    <w:p w14:paraId="4C673C38">
      <w:pPr>
        <w:pStyle w:val="2"/>
      </w:pPr>
    </w:p>
    <w:p w14:paraId="45B97475">
      <w:pPr>
        <w:pStyle w:val="2"/>
      </w:pPr>
    </w:p>
    <w:p w14:paraId="67217FDB">
      <w:pPr>
        <w:pStyle w:val="2"/>
      </w:pPr>
    </w:p>
    <w:p w14:paraId="482D0411">
      <w:pPr>
        <w:pStyle w:val="2"/>
      </w:pPr>
    </w:p>
    <w:p w14:paraId="7540CFA1">
      <w:pPr>
        <w:pStyle w:val="2"/>
      </w:pPr>
    </w:p>
    <w:p w14:paraId="4D9DDB94">
      <w:pPr>
        <w:pStyle w:val="2"/>
      </w:pPr>
    </w:p>
    <w:p w14:paraId="54EC11FB">
      <w:pPr>
        <w:pStyle w:val="2"/>
      </w:pPr>
    </w:p>
    <w:p w14:paraId="4F791361">
      <w:pPr>
        <w:pStyle w:val="2"/>
      </w:pPr>
    </w:p>
    <w:p w14:paraId="2A898CAA">
      <w:pPr>
        <w:pStyle w:val="2"/>
      </w:pPr>
    </w:p>
    <w:p w14:paraId="7BB7788E">
      <w:pPr>
        <w:pStyle w:val="2"/>
      </w:pPr>
    </w:p>
    <w:p w14:paraId="057E45D7">
      <w:pPr>
        <w:pStyle w:val="2"/>
      </w:pPr>
    </w:p>
    <w:p w14:paraId="2A21C703">
      <w:pPr>
        <w:pStyle w:val="2"/>
      </w:pPr>
    </w:p>
    <w:p w14:paraId="5E66D7FB">
      <w:pPr>
        <w:pStyle w:val="2"/>
      </w:pPr>
    </w:p>
    <w:p w14:paraId="3B7A6C09">
      <w:pPr>
        <w:pStyle w:val="2"/>
      </w:pPr>
    </w:p>
    <w:p w14:paraId="6E1AF503">
      <w:pPr>
        <w:pStyle w:val="2"/>
      </w:pPr>
    </w:p>
    <w:p w14:paraId="22643009">
      <w:pPr>
        <w:pStyle w:val="2"/>
      </w:pPr>
    </w:p>
    <w:p w14:paraId="42A5A549">
      <w:pPr>
        <w:pStyle w:val="2"/>
      </w:pPr>
    </w:p>
    <w:p w14:paraId="4DAC9463">
      <w:pPr>
        <w:pStyle w:val="2"/>
      </w:pPr>
    </w:p>
    <w:p w14:paraId="03F39815">
      <w:pPr>
        <w:pStyle w:val="2"/>
      </w:pPr>
    </w:p>
    <w:p w14:paraId="7E40C254">
      <w:pPr>
        <w:pStyle w:val="2"/>
      </w:pPr>
    </w:p>
    <w:p w14:paraId="573EE92C">
      <w:pPr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jc w:val="left"/>
        <w:textAlignment w:val="baseline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附件：</w:t>
      </w:r>
    </w:p>
    <w:p w14:paraId="163D8F44">
      <w:pPr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jc w:val="center"/>
        <w:textAlignment w:val="baseline"/>
        <w:rPr>
          <w:rFonts w:hint="eastAsia" w:ascii="黑体" w:hAnsi="黑体" w:eastAsia="黑体" w:cs="黑体"/>
          <w:sz w:val="44"/>
          <w:szCs w:val="44"/>
          <w:lang w:val="en-US" w:eastAsia="zh-CN"/>
        </w:rPr>
      </w:pPr>
    </w:p>
    <w:p w14:paraId="17501334">
      <w:pPr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jc w:val="center"/>
        <w:textAlignment w:val="baseline"/>
        <w:rPr>
          <w:rFonts w:hint="eastAsia" w:ascii="黑体" w:hAnsi="黑体" w:eastAsia="黑体" w:cs="黑体"/>
          <w:sz w:val="44"/>
          <w:szCs w:val="44"/>
          <w:lang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望奎县</w:t>
      </w:r>
      <w:r>
        <w:rPr>
          <w:rFonts w:hint="eastAsia" w:ascii="黑体" w:hAnsi="黑体" w:eastAsia="黑体" w:cs="黑体"/>
          <w:sz w:val="44"/>
          <w:szCs w:val="44"/>
          <w:lang w:eastAsia="zh-CN"/>
        </w:rPr>
        <w:t>应急管理系统直管行业领域安全生产执法“利剑行动-202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6</w:t>
      </w:r>
      <w:r>
        <w:rPr>
          <w:rFonts w:hint="eastAsia" w:ascii="黑体" w:hAnsi="黑体" w:eastAsia="黑体" w:cs="黑体"/>
          <w:sz w:val="44"/>
          <w:szCs w:val="44"/>
          <w:lang w:eastAsia="zh-CN"/>
        </w:rPr>
        <w:t>”企业名单</w:t>
      </w:r>
    </w:p>
    <w:p w14:paraId="7EE19E19">
      <w:pPr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jc w:val="center"/>
        <w:textAlignment w:val="baseline"/>
        <w:rPr>
          <w:rFonts w:hint="eastAsia" w:ascii="黑体" w:hAnsi="黑体" w:eastAsia="黑体" w:cs="黑体"/>
          <w:sz w:val="44"/>
          <w:szCs w:val="44"/>
          <w:lang w:eastAsia="zh-CN"/>
        </w:rPr>
      </w:pPr>
    </w:p>
    <w:tbl>
      <w:tblPr>
        <w:tblStyle w:val="4"/>
        <w:tblW w:w="9045" w:type="dxa"/>
        <w:tblInd w:w="-21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0"/>
        <w:gridCol w:w="3120"/>
        <w:gridCol w:w="3030"/>
        <w:gridCol w:w="1125"/>
        <w:gridCol w:w="780"/>
      </w:tblGrid>
      <w:tr w14:paraId="6D6233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990" w:type="dxa"/>
            <w:vAlign w:val="center"/>
          </w:tcPr>
          <w:p w14:paraId="21578FDB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3120" w:type="dxa"/>
            <w:vAlign w:val="center"/>
          </w:tcPr>
          <w:p w14:paraId="7BCC9C73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企业名称</w:t>
            </w:r>
          </w:p>
        </w:tc>
        <w:tc>
          <w:tcPr>
            <w:tcW w:w="3030" w:type="dxa"/>
            <w:vAlign w:val="center"/>
          </w:tcPr>
          <w:p w14:paraId="44105FA9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企业地址</w:t>
            </w:r>
          </w:p>
        </w:tc>
        <w:tc>
          <w:tcPr>
            <w:tcW w:w="1125" w:type="dxa"/>
            <w:vAlign w:val="center"/>
          </w:tcPr>
          <w:p w14:paraId="6224D53B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负责人</w:t>
            </w:r>
          </w:p>
        </w:tc>
        <w:tc>
          <w:tcPr>
            <w:tcW w:w="780" w:type="dxa"/>
            <w:vAlign w:val="center"/>
          </w:tcPr>
          <w:p w14:paraId="21A1AE00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</w:tr>
      <w:tr w14:paraId="0290CD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990" w:type="dxa"/>
            <w:vAlign w:val="center"/>
          </w:tcPr>
          <w:p w14:paraId="3DF6DD55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3120" w:type="dxa"/>
            <w:vAlign w:val="center"/>
          </w:tcPr>
          <w:p w14:paraId="12DD1294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黑龙江优陌亿家木业有限公司</w:t>
            </w:r>
          </w:p>
        </w:tc>
        <w:tc>
          <w:tcPr>
            <w:tcW w:w="3030" w:type="dxa"/>
            <w:vAlign w:val="center"/>
          </w:tcPr>
          <w:p w14:paraId="40B87D00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绥化市望奎县开发区内</w:t>
            </w:r>
          </w:p>
        </w:tc>
        <w:tc>
          <w:tcPr>
            <w:tcW w:w="1125" w:type="dxa"/>
            <w:vAlign w:val="center"/>
          </w:tcPr>
          <w:p w14:paraId="47908ECC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张多奎</w:t>
            </w:r>
          </w:p>
        </w:tc>
        <w:tc>
          <w:tcPr>
            <w:tcW w:w="780" w:type="dxa"/>
            <w:vAlign w:val="center"/>
          </w:tcPr>
          <w:p w14:paraId="40EFF407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0E274F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990" w:type="dxa"/>
            <w:vAlign w:val="center"/>
          </w:tcPr>
          <w:p w14:paraId="49C8F37B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3120" w:type="dxa"/>
            <w:vAlign w:val="center"/>
          </w:tcPr>
          <w:p w14:paraId="6821EDE2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望奎县鼎盛水泥制造有限公司</w:t>
            </w:r>
          </w:p>
        </w:tc>
        <w:tc>
          <w:tcPr>
            <w:tcW w:w="3030" w:type="dxa"/>
            <w:vAlign w:val="center"/>
          </w:tcPr>
          <w:p w14:paraId="10F481CE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绥化市望奎县东郊乡</w:t>
            </w:r>
          </w:p>
        </w:tc>
        <w:tc>
          <w:tcPr>
            <w:tcW w:w="1125" w:type="dxa"/>
            <w:vAlign w:val="center"/>
          </w:tcPr>
          <w:p w14:paraId="29539B1E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周文志</w:t>
            </w:r>
          </w:p>
        </w:tc>
        <w:tc>
          <w:tcPr>
            <w:tcW w:w="780" w:type="dxa"/>
            <w:vAlign w:val="center"/>
          </w:tcPr>
          <w:p w14:paraId="4CF163F1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783B76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990" w:type="dxa"/>
            <w:vAlign w:val="center"/>
          </w:tcPr>
          <w:p w14:paraId="613CEA98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3120" w:type="dxa"/>
            <w:vAlign w:val="center"/>
          </w:tcPr>
          <w:p w14:paraId="0AEDBF22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望奎县双龙烟花爆竹经销有限公司</w:t>
            </w:r>
          </w:p>
        </w:tc>
        <w:tc>
          <w:tcPr>
            <w:tcW w:w="3030" w:type="dxa"/>
            <w:vAlign w:val="center"/>
          </w:tcPr>
          <w:p w14:paraId="1440E94A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绥化市望奎县卫星镇绥望公路33.5公里处路东</w:t>
            </w:r>
          </w:p>
        </w:tc>
        <w:tc>
          <w:tcPr>
            <w:tcW w:w="1125" w:type="dxa"/>
            <w:vAlign w:val="center"/>
          </w:tcPr>
          <w:p w14:paraId="191A2C19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郭宝臣</w:t>
            </w:r>
          </w:p>
        </w:tc>
        <w:tc>
          <w:tcPr>
            <w:tcW w:w="780" w:type="dxa"/>
            <w:vAlign w:val="center"/>
          </w:tcPr>
          <w:p w14:paraId="72F77055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2E577D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990" w:type="dxa"/>
            <w:vAlign w:val="center"/>
          </w:tcPr>
          <w:p w14:paraId="3A401936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3120" w:type="dxa"/>
            <w:vAlign w:val="center"/>
          </w:tcPr>
          <w:p w14:paraId="6DD5DF70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望奎双汇北大荒食品有限公司</w:t>
            </w:r>
          </w:p>
        </w:tc>
        <w:tc>
          <w:tcPr>
            <w:tcW w:w="3030" w:type="dxa"/>
            <w:vAlign w:val="center"/>
          </w:tcPr>
          <w:p w14:paraId="7259B6EC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绥化市望奎县先锋镇白五村</w:t>
            </w:r>
          </w:p>
        </w:tc>
        <w:tc>
          <w:tcPr>
            <w:tcW w:w="1125" w:type="dxa"/>
            <w:vAlign w:val="center"/>
          </w:tcPr>
          <w:p w14:paraId="1B139AA3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韩  鹏</w:t>
            </w:r>
          </w:p>
        </w:tc>
        <w:tc>
          <w:tcPr>
            <w:tcW w:w="780" w:type="dxa"/>
            <w:vAlign w:val="center"/>
          </w:tcPr>
          <w:p w14:paraId="0C11787B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1CCD5A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990" w:type="dxa"/>
            <w:vAlign w:val="center"/>
          </w:tcPr>
          <w:p w14:paraId="26CB4190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3120" w:type="dxa"/>
            <w:vAlign w:val="center"/>
          </w:tcPr>
          <w:p w14:paraId="179A4BD7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望奎县灯塔农机服务站</w:t>
            </w:r>
          </w:p>
        </w:tc>
        <w:tc>
          <w:tcPr>
            <w:tcW w:w="3030" w:type="dxa"/>
            <w:vAlign w:val="center"/>
          </w:tcPr>
          <w:p w14:paraId="1597DFDA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绥化市望奎县灯塔镇政府所在地</w:t>
            </w:r>
          </w:p>
        </w:tc>
        <w:tc>
          <w:tcPr>
            <w:tcW w:w="1125" w:type="dxa"/>
            <w:vAlign w:val="center"/>
          </w:tcPr>
          <w:p w14:paraId="3014F0BB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徐明权</w:t>
            </w:r>
          </w:p>
        </w:tc>
        <w:tc>
          <w:tcPr>
            <w:tcW w:w="780" w:type="dxa"/>
            <w:vAlign w:val="center"/>
          </w:tcPr>
          <w:p w14:paraId="590E04BC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155580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990" w:type="dxa"/>
            <w:vAlign w:val="center"/>
          </w:tcPr>
          <w:p w14:paraId="7E0243E3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3120" w:type="dxa"/>
            <w:vAlign w:val="center"/>
          </w:tcPr>
          <w:p w14:paraId="21BEDF1D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望奎县东升农机服务站</w:t>
            </w:r>
          </w:p>
        </w:tc>
        <w:tc>
          <w:tcPr>
            <w:tcW w:w="3030" w:type="dxa"/>
            <w:vAlign w:val="center"/>
          </w:tcPr>
          <w:p w14:paraId="0A775174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望奎县望奎镇东升乡政府所在地</w:t>
            </w:r>
          </w:p>
        </w:tc>
        <w:tc>
          <w:tcPr>
            <w:tcW w:w="1125" w:type="dxa"/>
            <w:vAlign w:val="center"/>
          </w:tcPr>
          <w:p w14:paraId="56356ECB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姜玉良</w:t>
            </w:r>
          </w:p>
        </w:tc>
        <w:tc>
          <w:tcPr>
            <w:tcW w:w="780" w:type="dxa"/>
            <w:vAlign w:val="center"/>
          </w:tcPr>
          <w:p w14:paraId="5971BDCF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629F9B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7" w:hRule="atLeast"/>
        </w:trPr>
        <w:tc>
          <w:tcPr>
            <w:tcW w:w="990" w:type="dxa"/>
            <w:vAlign w:val="center"/>
          </w:tcPr>
          <w:p w14:paraId="73013DA3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7</w:t>
            </w:r>
          </w:p>
        </w:tc>
        <w:tc>
          <w:tcPr>
            <w:tcW w:w="3120" w:type="dxa"/>
            <w:vAlign w:val="center"/>
          </w:tcPr>
          <w:p w14:paraId="23053181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望奎县厢白农机加油站</w:t>
            </w:r>
          </w:p>
        </w:tc>
        <w:tc>
          <w:tcPr>
            <w:tcW w:w="3030" w:type="dxa"/>
            <w:vAlign w:val="center"/>
          </w:tcPr>
          <w:p w14:paraId="393261C8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绥化市望奎县厢白乡后头村</w:t>
            </w:r>
          </w:p>
        </w:tc>
        <w:tc>
          <w:tcPr>
            <w:tcW w:w="1125" w:type="dxa"/>
            <w:vAlign w:val="center"/>
          </w:tcPr>
          <w:p w14:paraId="09DBEF39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刘柏盛</w:t>
            </w:r>
          </w:p>
        </w:tc>
        <w:tc>
          <w:tcPr>
            <w:tcW w:w="780" w:type="dxa"/>
            <w:vAlign w:val="center"/>
          </w:tcPr>
          <w:p w14:paraId="382DDD0C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00AAB1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7" w:hRule="atLeast"/>
        </w:trPr>
        <w:tc>
          <w:tcPr>
            <w:tcW w:w="990" w:type="dxa"/>
            <w:vAlign w:val="center"/>
          </w:tcPr>
          <w:p w14:paraId="19623B09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8</w:t>
            </w:r>
          </w:p>
        </w:tc>
        <w:tc>
          <w:tcPr>
            <w:tcW w:w="3120" w:type="dxa"/>
            <w:vAlign w:val="center"/>
          </w:tcPr>
          <w:p w14:paraId="619F657F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望奎县海丰农机服务站</w:t>
            </w:r>
          </w:p>
        </w:tc>
        <w:tc>
          <w:tcPr>
            <w:tcW w:w="3030" w:type="dxa"/>
            <w:vAlign w:val="center"/>
          </w:tcPr>
          <w:p w14:paraId="55433A5C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绥化市望奎县海丰镇政府所在地</w:t>
            </w:r>
          </w:p>
        </w:tc>
        <w:tc>
          <w:tcPr>
            <w:tcW w:w="1125" w:type="dxa"/>
            <w:vAlign w:val="center"/>
          </w:tcPr>
          <w:p w14:paraId="65CDE560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刘树春</w:t>
            </w:r>
          </w:p>
        </w:tc>
        <w:tc>
          <w:tcPr>
            <w:tcW w:w="780" w:type="dxa"/>
            <w:vAlign w:val="center"/>
          </w:tcPr>
          <w:p w14:paraId="449BBCBB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23DAC4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7" w:hRule="atLeast"/>
        </w:trPr>
        <w:tc>
          <w:tcPr>
            <w:tcW w:w="990" w:type="dxa"/>
            <w:vAlign w:val="center"/>
          </w:tcPr>
          <w:p w14:paraId="66E87943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9</w:t>
            </w:r>
          </w:p>
        </w:tc>
        <w:tc>
          <w:tcPr>
            <w:tcW w:w="3120" w:type="dxa"/>
            <w:vAlign w:val="center"/>
          </w:tcPr>
          <w:p w14:paraId="65EB5C2E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望奎县敏三农机服务站</w:t>
            </w:r>
          </w:p>
        </w:tc>
        <w:tc>
          <w:tcPr>
            <w:tcW w:w="3030" w:type="dxa"/>
            <w:vAlign w:val="center"/>
          </w:tcPr>
          <w:p w14:paraId="479FAB57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绥化市望奎县灯塔镇敏三村</w:t>
            </w:r>
          </w:p>
        </w:tc>
        <w:tc>
          <w:tcPr>
            <w:tcW w:w="1125" w:type="dxa"/>
            <w:vAlign w:val="center"/>
          </w:tcPr>
          <w:p w14:paraId="24757C88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周士臣</w:t>
            </w:r>
          </w:p>
        </w:tc>
        <w:tc>
          <w:tcPr>
            <w:tcW w:w="780" w:type="dxa"/>
            <w:vAlign w:val="center"/>
          </w:tcPr>
          <w:p w14:paraId="09026C70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342CCF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7" w:hRule="atLeast"/>
        </w:trPr>
        <w:tc>
          <w:tcPr>
            <w:tcW w:w="990" w:type="dxa"/>
            <w:vAlign w:val="center"/>
          </w:tcPr>
          <w:p w14:paraId="342FB229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10</w:t>
            </w:r>
          </w:p>
        </w:tc>
        <w:tc>
          <w:tcPr>
            <w:tcW w:w="3120" w:type="dxa"/>
            <w:vAlign w:val="center"/>
          </w:tcPr>
          <w:p w14:paraId="19AF08A1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望奎县富饶农机服务站</w:t>
            </w:r>
          </w:p>
        </w:tc>
        <w:tc>
          <w:tcPr>
            <w:tcW w:w="3030" w:type="dxa"/>
            <w:vAlign w:val="center"/>
          </w:tcPr>
          <w:p w14:paraId="44931574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绥化市望奎县先锋镇四段村</w:t>
            </w:r>
          </w:p>
        </w:tc>
        <w:tc>
          <w:tcPr>
            <w:tcW w:w="1125" w:type="dxa"/>
            <w:vAlign w:val="center"/>
          </w:tcPr>
          <w:p w14:paraId="25E659F6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李占军</w:t>
            </w:r>
          </w:p>
        </w:tc>
        <w:tc>
          <w:tcPr>
            <w:tcW w:w="780" w:type="dxa"/>
            <w:vAlign w:val="center"/>
          </w:tcPr>
          <w:p w14:paraId="3A259430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16BF1C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7" w:hRule="atLeast"/>
        </w:trPr>
        <w:tc>
          <w:tcPr>
            <w:tcW w:w="990" w:type="dxa"/>
            <w:vAlign w:val="center"/>
          </w:tcPr>
          <w:p w14:paraId="12A40BD0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11</w:t>
            </w:r>
          </w:p>
        </w:tc>
        <w:tc>
          <w:tcPr>
            <w:tcW w:w="3120" w:type="dxa"/>
            <w:vAlign w:val="center"/>
          </w:tcPr>
          <w:p w14:paraId="438EA2C7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望奎县通江农机服务站</w:t>
            </w:r>
          </w:p>
        </w:tc>
        <w:tc>
          <w:tcPr>
            <w:tcW w:w="3030" w:type="dxa"/>
            <w:vAlign w:val="center"/>
          </w:tcPr>
          <w:p w14:paraId="0C7CD63D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绥化市望奎县通江镇政府所在地</w:t>
            </w:r>
          </w:p>
        </w:tc>
        <w:tc>
          <w:tcPr>
            <w:tcW w:w="1125" w:type="dxa"/>
            <w:vAlign w:val="center"/>
          </w:tcPr>
          <w:p w14:paraId="74D233FA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金喜涛</w:t>
            </w:r>
          </w:p>
        </w:tc>
        <w:tc>
          <w:tcPr>
            <w:tcW w:w="780" w:type="dxa"/>
            <w:vAlign w:val="center"/>
          </w:tcPr>
          <w:p w14:paraId="07FDB1A9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 w14:paraId="4E6648AF">
      <w:pPr>
        <w:pStyle w:val="2"/>
        <w:jc w:val="both"/>
        <w:rPr>
          <w:rFonts w:hint="eastAsia" w:ascii="黑体" w:hAnsi="黑体" w:eastAsia="黑体" w:cs="黑体"/>
          <w:snapToGrid w:val="0"/>
          <w:color w:val="000000"/>
          <w:spacing w:val="9"/>
          <w:kern w:val="0"/>
          <w:sz w:val="44"/>
          <w:szCs w:val="44"/>
          <w:lang w:val="en-US" w:eastAsia="zh-CN" w:bidi="ar-SA"/>
        </w:rPr>
      </w:pPr>
    </w:p>
    <w:sectPr>
      <w:footerReference r:id="rId6" w:type="default"/>
      <w:pgSz w:w="11880" w:h="16960"/>
      <w:pgMar w:top="1441" w:right="1420" w:bottom="1213" w:left="1600" w:header="0" w:footer="875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1B063D">
    <w:pPr>
      <w:spacing w:line="232" w:lineRule="auto"/>
      <w:ind w:left="4109"/>
      <w:rPr>
        <w:rFonts w:ascii="宋体" w:hAnsi="宋体" w:eastAsia="宋体" w:cs="宋体"/>
        <w:sz w:val="22"/>
        <w:szCs w:val="22"/>
      </w:rPr>
    </w:pPr>
    <w:r>
      <w:rPr>
        <w:rFonts w:ascii="宋体" w:hAnsi="宋体" w:eastAsia="宋体" w:cs="宋体"/>
        <w:spacing w:val="-3"/>
        <w:sz w:val="22"/>
        <w:szCs w:val="22"/>
      </w:rPr>
      <w:t>—1—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9BEA97">
    <w:pPr>
      <w:spacing w:line="232" w:lineRule="auto"/>
      <w:ind w:left="4019"/>
      <w:rPr>
        <w:rFonts w:ascii="宋体" w:hAnsi="宋体" w:eastAsia="宋体" w:cs="宋体"/>
        <w:sz w:val="26"/>
        <w:szCs w:val="26"/>
      </w:rPr>
    </w:pPr>
    <w:r>
      <w:rPr>
        <w:rFonts w:ascii="宋体" w:hAnsi="宋体" w:eastAsia="宋体" w:cs="宋体"/>
        <w:spacing w:val="-3"/>
        <w:sz w:val="26"/>
        <w:szCs w:val="26"/>
      </w:rPr>
      <w:t>—10—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0BE7797"/>
    <w:rsid w:val="029562D6"/>
    <w:rsid w:val="04C904B8"/>
    <w:rsid w:val="09012917"/>
    <w:rsid w:val="0A334D52"/>
    <w:rsid w:val="0A856C30"/>
    <w:rsid w:val="0B7A69B0"/>
    <w:rsid w:val="0D501777"/>
    <w:rsid w:val="0F84395A"/>
    <w:rsid w:val="11BF6ECB"/>
    <w:rsid w:val="15EF58A5"/>
    <w:rsid w:val="178D5376"/>
    <w:rsid w:val="17935082"/>
    <w:rsid w:val="1A725422"/>
    <w:rsid w:val="1A974E89"/>
    <w:rsid w:val="202645B9"/>
    <w:rsid w:val="20B63334"/>
    <w:rsid w:val="292A336C"/>
    <w:rsid w:val="29AE5D4B"/>
    <w:rsid w:val="2A764AAD"/>
    <w:rsid w:val="2AFA0B1C"/>
    <w:rsid w:val="32BF4B25"/>
    <w:rsid w:val="34AE6BFF"/>
    <w:rsid w:val="39365415"/>
    <w:rsid w:val="39A131D7"/>
    <w:rsid w:val="3A3D0DAC"/>
    <w:rsid w:val="3ABC7D9E"/>
    <w:rsid w:val="3C5F4C83"/>
    <w:rsid w:val="471A1ED2"/>
    <w:rsid w:val="47721B03"/>
    <w:rsid w:val="47CA38F8"/>
    <w:rsid w:val="47EF335F"/>
    <w:rsid w:val="4C20442F"/>
    <w:rsid w:val="4C324162"/>
    <w:rsid w:val="56BA686F"/>
    <w:rsid w:val="594B039A"/>
    <w:rsid w:val="5CE1322D"/>
    <w:rsid w:val="5D1A0A26"/>
    <w:rsid w:val="5EB822A5"/>
    <w:rsid w:val="60115C72"/>
    <w:rsid w:val="60A76A75"/>
    <w:rsid w:val="61D409B6"/>
    <w:rsid w:val="64B234DE"/>
    <w:rsid w:val="656C41F2"/>
    <w:rsid w:val="65801643"/>
    <w:rsid w:val="66044022"/>
    <w:rsid w:val="68EF2D67"/>
    <w:rsid w:val="6B2313EE"/>
    <w:rsid w:val="6C692E30"/>
    <w:rsid w:val="7B174BC7"/>
    <w:rsid w:val="7C78069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8</Pages>
  <Words>2816</Words>
  <Characters>2903</Characters>
  <TotalTime>1</TotalTime>
  <ScaleCrop>false</ScaleCrop>
  <LinksUpToDate>false</LinksUpToDate>
  <CharactersWithSpaces>2906</CharactersWithSpaces>
  <Application>WPS Office_12.8.2.18205_F1E327BC-269C-435d-A152-05C5408002CA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2026-05-22T10:41:00Z</dcterms:created>
  <dc:creator>Administrator</dc:creator>
  <cp:lastModifiedBy>Administrator</cp:lastModifiedBy>
  <dcterms:modified xsi:type="dcterms:W3CDTF">2026-09-08T07:48:17Z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2026-05-22T10:41:01Z</vt:filetime>
  </property>
  <property fmtid="{D5CDD505-2E9C-101B-9397-08002B2CF9AE}" pid="4" name="UsrData">
    <vt:lpwstr>6a0fc2369aafeb002023485ewl</vt:lpwstr>
  </property>
  <property fmtid="{D5CDD505-2E9C-101B-9397-08002B2CF9AE}" pid="5" name="KSOTemplateDocerSaveRecord">
    <vt:lpwstr>eyJoZGlkIjoiZGYwMGIyNDhiODkwNDYxNjgxNDQzN2M5OGQxMjdkMzQiLCJ1c2VySWQiOiI0MzAyMDc1OTcifQ==</vt:lpwstr>
  </property>
  <property fmtid="{D5CDD505-2E9C-101B-9397-08002B2CF9AE}" pid="6" name="KSOProductBuildVer">
    <vt:lpwstr>2052-12.8.2.18205</vt:lpwstr>
  </property>
  <property fmtid="{D5CDD505-2E9C-101B-9397-08002B2CF9AE}" pid="7" name="ICV">
    <vt:lpwstr>54CB25F1D956499BB939AE9D2B6F5B1F_12</vt:lpwstr>
  </property>
</Properties>
</file>